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0C45D" w14:textId="77777777" w:rsidR="00A25486" w:rsidRPr="004F57F3" w:rsidRDefault="00A25486" w:rsidP="00A25486">
      <w:pPr>
        <w:pStyle w:val="NoSpacing"/>
        <w:jc w:val="center"/>
        <w:rPr>
          <w:rFonts w:ascii="Arial" w:hAnsi="Arial" w:cs="Arial"/>
          <w:b/>
          <w:sz w:val="24"/>
        </w:rPr>
      </w:pPr>
      <w:r w:rsidRPr="004F57F3">
        <w:rPr>
          <w:rFonts w:ascii="Arial" w:hAnsi="Arial" w:cs="Arial"/>
          <w:b/>
          <w:sz w:val="24"/>
        </w:rPr>
        <w:t>IN THE SUPERIOR COURT OF THE VIRGIN ISLANDS</w:t>
      </w:r>
    </w:p>
    <w:p w14:paraId="5FE7DF3E" w14:textId="521D21D0" w:rsidR="00A25486" w:rsidRDefault="00A25486" w:rsidP="00A25486">
      <w:pPr>
        <w:jc w:val="center"/>
        <w:outlineLvl w:val="0"/>
        <w:rPr>
          <w:rFonts w:ascii="Arial" w:hAnsi="Arial" w:cs="Arial"/>
          <w:b/>
        </w:rPr>
      </w:pPr>
      <w:r w:rsidRPr="004F57F3">
        <w:rPr>
          <w:rFonts w:ascii="Arial" w:hAnsi="Arial" w:cs="Arial"/>
          <w:b/>
        </w:rPr>
        <w:t>DIVISION OF ST. CROIX</w:t>
      </w:r>
    </w:p>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4126"/>
      </w:tblGrid>
      <w:tr w:rsidR="00A25486" w:rsidRPr="004F57F3" w14:paraId="2D0309AF" w14:textId="77777777" w:rsidTr="00A25486">
        <w:trPr>
          <w:trHeight w:val="600"/>
        </w:trPr>
        <w:tc>
          <w:tcPr>
            <w:tcW w:w="5368" w:type="dxa"/>
            <w:tcBorders>
              <w:right w:val="single" w:sz="4" w:space="0" w:color="auto"/>
            </w:tcBorders>
          </w:tcPr>
          <w:p w14:paraId="08BD1B82" w14:textId="77777777" w:rsidR="00A25486" w:rsidRPr="005C7940" w:rsidRDefault="00A25486" w:rsidP="00B47B37">
            <w:pPr>
              <w:tabs>
                <w:tab w:val="left" w:pos="720"/>
              </w:tabs>
              <w:spacing w:line="220" w:lineRule="exact"/>
              <w:ind w:right="524"/>
              <w:rPr>
                <w:rFonts w:ascii="Arial" w:hAnsi="Arial" w:cs="Arial"/>
                <w:caps/>
                <w:sz w:val="8"/>
                <w:szCs w:val="8"/>
              </w:rPr>
            </w:pPr>
            <w:r w:rsidRPr="00DE7612">
              <w:rPr>
                <w:rFonts w:ascii="Arial" w:hAnsi="Arial" w:cs="Arial"/>
                <w:b/>
                <w:spacing w:val="6"/>
              </w:rPr>
              <w:t>W</w:t>
            </w:r>
            <w:r w:rsidRPr="00DE7612">
              <w:rPr>
                <w:rFonts w:ascii="Arial" w:hAnsi="Arial" w:cs="Arial"/>
                <w:b/>
              </w:rPr>
              <w:t>ALEED</w:t>
            </w:r>
            <w:r w:rsidRPr="00DE7612">
              <w:rPr>
                <w:rFonts w:ascii="Arial" w:hAnsi="Arial" w:cs="Arial"/>
                <w:b/>
                <w:spacing w:val="19"/>
              </w:rPr>
              <w:t xml:space="preserve"> </w:t>
            </w:r>
            <w:r w:rsidRPr="00DE7612">
              <w:rPr>
                <w:rFonts w:ascii="Arial" w:hAnsi="Arial" w:cs="Arial"/>
                <w:b/>
              </w:rPr>
              <w:t>HAMED</w:t>
            </w:r>
            <w:r w:rsidRPr="004F57F3">
              <w:rPr>
                <w:rFonts w:ascii="Arial" w:hAnsi="Arial" w:cs="Arial"/>
                <w:caps/>
              </w:rPr>
              <w:t>,</w:t>
            </w:r>
            <w:r w:rsidRPr="004F57F3">
              <w:rPr>
                <w:rFonts w:ascii="Arial" w:hAnsi="Arial" w:cs="Arial"/>
                <w:b/>
              </w:rPr>
              <w:t xml:space="preserve"> </w:t>
            </w:r>
            <w:r w:rsidRPr="00DE7612">
              <w:rPr>
                <w:rFonts w:ascii="Arial" w:hAnsi="Arial" w:cs="Arial"/>
              </w:rPr>
              <w:t>as the Executor of the Estate of MOHAMMAD</w:t>
            </w:r>
            <w:r w:rsidRPr="00DE7612">
              <w:rPr>
                <w:rFonts w:ascii="Arial" w:hAnsi="Arial" w:cs="Arial"/>
                <w:spacing w:val="20"/>
              </w:rPr>
              <w:t xml:space="preserve"> </w:t>
            </w:r>
            <w:r w:rsidRPr="00DE7612">
              <w:rPr>
                <w:rFonts w:ascii="Arial" w:hAnsi="Arial" w:cs="Arial"/>
              </w:rPr>
              <w:t>HAMED</w:t>
            </w:r>
            <w:r w:rsidRPr="004F57F3">
              <w:rPr>
                <w:rFonts w:ascii="Arial" w:hAnsi="Arial" w:cs="Arial"/>
              </w:rPr>
              <w:t>,</w:t>
            </w:r>
          </w:p>
        </w:tc>
        <w:tc>
          <w:tcPr>
            <w:tcW w:w="4126" w:type="dxa"/>
            <w:tcBorders>
              <w:left w:val="single" w:sz="4" w:space="0" w:color="auto"/>
            </w:tcBorders>
          </w:tcPr>
          <w:p w14:paraId="59D50D10" w14:textId="77777777" w:rsidR="00A25486" w:rsidRPr="004F57F3" w:rsidRDefault="00A25486" w:rsidP="00B47B37">
            <w:pPr>
              <w:spacing w:line="220" w:lineRule="exact"/>
              <w:rPr>
                <w:rFonts w:ascii="Arial" w:hAnsi="Arial" w:cs="Arial"/>
              </w:rPr>
            </w:pPr>
          </w:p>
          <w:p w14:paraId="5D62F98D" w14:textId="77777777" w:rsidR="00A25486" w:rsidRPr="004F57F3" w:rsidRDefault="00A25486" w:rsidP="00B47B37">
            <w:pPr>
              <w:spacing w:line="220" w:lineRule="exact"/>
              <w:rPr>
                <w:rFonts w:ascii="Arial" w:hAnsi="Arial" w:cs="Arial"/>
              </w:rPr>
            </w:pPr>
          </w:p>
          <w:p w14:paraId="390C6ECA" w14:textId="77777777" w:rsidR="00A25486" w:rsidRPr="00CA2792" w:rsidRDefault="00A25486" w:rsidP="00B47B37">
            <w:pPr>
              <w:spacing w:line="220" w:lineRule="exact"/>
              <w:rPr>
                <w:rFonts w:ascii="Arial" w:hAnsi="Arial" w:cs="Arial"/>
                <w:b/>
              </w:rPr>
            </w:pPr>
            <w:r w:rsidRPr="00CA2792">
              <w:rPr>
                <w:rFonts w:ascii="Arial" w:hAnsi="Arial" w:cs="Arial"/>
                <w:b/>
              </w:rPr>
              <w:t>Case No.: SX-2012-</w:t>
            </w:r>
            <w:r>
              <w:rPr>
                <w:rFonts w:ascii="Arial" w:hAnsi="Arial" w:cs="Arial"/>
                <w:b/>
              </w:rPr>
              <w:t>CV</w:t>
            </w:r>
            <w:r w:rsidRPr="00CA2792">
              <w:rPr>
                <w:rFonts w:ascii="Arial" w:hAnsi="Arial" w:cs="Arial"/>
                <w:b/>
              </w:rPr>
              <w:t>-370</w:t>
            </w:r>
          </w:p>
        </w:tc>
      </w:tr>
      <w:tr w:rsidR="00A25486" w:rsidRPr="004F57F3" w14:paraId="4DE3EE7D" w14:textId="77777777" w:rsidTr="00A25486">
        <w:trPr>
          <w:trHeight w:val="204"/>
        </w:trPr>
        <w:tc>
          <w:tcPr>
            <w:tcW w:w="5368" w:type="dxa"/>
            <w:tcBorders>
              <w:right w:val="single" w:sz="4" w:space="0" w:color="auto"/>
            </w:tcBorders>
          </w:tcPr>
          <w:p w14:paraId="6897514B" w14:textId="77777777" w:rsidR="00A25486" w:rsidRPr="004F57F3" w:rsidRDefault="00A25486" w:rsidP="00B47B37">
            <w:pPr>
              <w:spacing w:line="220" w:lineRule="exact"/>
              <w:rPr>
                <w:rFonts w:ascii="Arial" w:hAnsi="Arial" w:cs="Arial"/>
              </w:rPr>
            </w:pPr>
            <w:r w:rsidRPr="004F57F3">
              <w:rPr>
                <w:rFonts w:ascii="Arial" w:hAnsi="Arial" w:cs="Arial"/>
                <w:i/>
              </w:rPr>
              <w:t>Plaintiff/Counterclaim Defendant</w:t>
            </w:r>
            <w:r w:rsidRPr="004F57F3">
              <w:rPr>
                <w:rFonts w:ascii="Arial" w:hAnsi="Arial" w:cs="Arial"/>
              </w:rPr>
              <w:t>,</w:t>
            </w:r>
          </w:p>
        </w:tc>
        <w:tc>
          <w:tcPr>
            <w:tcW w:w="4126" w:type="dxa"/>
            <w:tcBorders>
              <w:left w:val="single" w:sz="4" w:space="0" w:color="auto"/>
            </w:tcBorders>
          </w:tcPr>
          <w:p w14:paraId="10169878" w14:textId="77777777" w:rsidR="00A25486" w:rsidRPr="004F57F3" w:rsidRDefault="00A25486" w:rsidP="00B47B37">
            <w:pPr>
              <w:spacing w:line="220" w:lineRule="exact"/>
              <w:rPr>
                <w:rFonts w:ascii="Arial" w:hAnsi="Arial" w:cs="Arial"/>
              </w:rPr>
            </w:pPr>
          </w:p>
        </w:tc>
      </w:tr>
      <w:tr w:rsidR="00A25486" w:rsidRPr="004F57F3" w14:paraId="70394809" w14:textId="77777777" w:rsidTr="00A25486">
        <w:trPr>
          <w:trHeight w:val="791"/>
        </w:trPr>
        <w:tc>
          <w:tcPr>
            <w:tcW w:w="5368" w:type="dxa"/>
            <w:tcBorders>
              <w:right w:val="single" w:sz="4" w:space="0" w:color="auto"/>
            </w:tcBorders>
          </w:tcPr>
          <w:p w14:paraId="3C410268" w14:textId="77777777" w:rsidR="00A25486" w:rsidRPr="005C7940" w:rsidRDefault="00A25486" w:rsidP="00B47B37">
            <w:pPr>
              <w:spacing w:line="220" w:lineRule="exact"/>
              <w:rPr>
                <w:rFonts w:ascii="Arial" w:hAnsi="Arial" w:cs="Arial"/>
                <w:sz w:val="16"/>
                <w:szCs w:val="16"/>
              </w:rPr>
            </w:pPr>
            <w:r w:rsidRPr="004F57F3">
              <w:rPr>
                <w:rFonts w:ascii="Arial" w:hAnsi="Arial" w:cs="Arial"/>
              </w:rPr>
              <w:t xml:space="preserve">     </w:t>
            </w:r>
            <w:r>
              <w:rPr>
                <w:rFonts w:ascii="Arial" w:hAnsi="Arial" w:cs="Arial"/>
              </w:rPr>
              <w:t xml:space="preserve">  </w:t>
            </w:r>
          </w:p>
          <w:p w14:paraId="2506372F" w14:textId="77777777" w:rsidR="00A25486" w:rsidRDefault="00A25486" w:rsidP="00B47B37">
            <w:pPr>
              <w:spacing w:line="220" w:lineRule="exact"/>
              <w:rPr>
                <w:rFonts w:ascii="Arial" w:hAnsi="Arial" w:cs="Arial"/>
                <w:b/>
                <w:w w:val="105"/>
              </w:rPr>
            </w:pPr>
            <w:r>
              <w:rPr>
                <w:rFonts w:ascii="Arial" w:hAnsi="Arial" w:cs="Arial"/>
              </w:rPr>
              <w:t xml:space="preserve">       </w:t>
            </w:r>
            <w:r w:rsidRPr="004F57F3">
              <w:rPr>
                <w:rFonts w:ascii="Arial" w:hAnsi="Arial" w:cs="Arial"/>
              </w:rPr>
              <w:t>vs.</w:t>
            </w:r>
            <w:r w:rsidRPr="004F57F3">
              <w:rPr>
                <w:rFonts w:ascii="Arial" w:hAnsi="Arial" w:cs="Arial"/>
                <w:b/>
                <w:w w:val="105"/>
              </w:rPr>
              <w:t xml:space="preserve"> </w:t>
            </w:r>
          </w:p>
          <w:p w14:paraId="7A7FD306" w14:textId="77777777" w:rsidR="00A25486" w:rsidRDefault="00A25486" w:rsidP="00B47B37">
            <w:pPr>
              <w:spacing w:line="220" w:lineRule="exact"/>
              <w:rPr>
                <w:rFonts w:ascii="Arial" w:hAnsi="Arial" w:cs="Arial"/>
                <w:b/>
                <w:w w:val="105"/>
              </w:rPr>
            </w:pPr>
          </w:p>
          <w:p w14:paraId="14CF7BED" w14:textId="77777777" w:rsidR="00A25486" w:rsidRPr="004F57F3" w:rsidRDefault="00A25486" w:rsidP="00B47B37">
            <w:pPr>
              <w:spacing w:line="220" w:lineRule="exact"/>
              <w:rPr>
                <w:rFonts w:ascii="Arial" w:hAnsi="Arial" w:cs="Arial"/>
              </w:rPr>
            </w:pPr>
            <w:r w:rsidRPr="004F57F3">
              <w:rPr>
                <w:rFonts w:ascii="Arial" w:hAnsi="Arial" w:cs="Arial"/>
                <w:b/>
                <w:w w:val="105"/>
              </w:rPr>
              <w:t>FATHI</w:t>
            </w:r>
            <w:r w:rsidRPr="004F57F3">
              <w:rPr>
                <w:rFonts w:ascii="Arial" w:hAnsi="Arial" w:cs="Arial"/>
                <w:b/>
                <w:spacing w:val="-2"/>
                <w:w w:val="105"/>
              </w:rPr>
              <w:t xml:space="preserve"> </w:t>
            </w:r>
            <w:r w:rsidRPr="004F57F3">
              <w:rPr>
                <w:rFonts w:ascii="Arial" w:hAnsi="Arial" w:cs="Arial"/>
                <w:b/>
                <w:w w:val="105"/>
              </w:rPr>
              <w:t>YUSUF</w:t>
            </w:r>
            <w:r w:rsidRPr="004F57F3">
              <w:rPr>
                <w:rFonts w:ascii="Arial" w:hAnsi="Arial" w:cs="Arial"/>
                <w:spacing w:val="2"/>
                <w:w w:val="105"/>
              </w:rPr>
              <w:t xml:space="preserve"> </w:t>
            </w:r>
            <w:r w:rsidRPr="004F57F3">
              <w:rPr>
                <w:rFonts w:ascii="Arial" w:hAnsi="Arial" w:cs="Arial"/>
                <w:w w:val="105"/>
              </w:rPr>
              <w:t>and</w:t>
            </w:r>
            <w:r w:rsidRPr="004F57F3">
              <w:rPr>
                <w:rFonts w:ascii="Arial" w:hAnsi="Arial" w:cs="Arial"/>
                <w:b/>
              </w:rPr>
              <w:t xml:space="preserve"> UNITED CORPORATION</w:t>
            </w:r>
          </w:p>
        </w:tc>
        <w:tc>
          <w:tcPr>
            <w:tcW w:w="4126" w:type="dxa"/>
            <w:tcBorders>
              <w:left w:val="single" w:sz="4" w:space="0" w:color="auto"/>
            </w:tcBorders>
          </w:tcPr>
          <w:p w14:paraId="76D1F88E" w14:textId="77777777" w:rsidR="00A25486" w:rsidRPr="004F57F3" w:rsidRDefault="00A25486" w:rsidP="00B47B37">
            <w:pPr>
              <w:spacing w:line="220" w:lineRule="exact"/>
              <w:rPr>
                <w:rFonts w:ascii="Arial" w:hAnsi="Arial" w:cs="Arial"/>
              </w:rPr>
            </w:pPr>
            <w:r w:rsidRPr="004F57F3">
              <w:rPr>
                <w:rFonts w:ascii="Arial" w:hAnsi="Arial" w:cs="Arial"/>
                <w:b/>
              </w:rPr>
              <w:t>ACTION FOR DAMAGES, INJUNCTIVE RELIEF AND DECLARATORY RELIEF</w:t>
            </w:r>
          </w:p>
        </w:tc>
      </w:tr>
      <w:tr w:rsidR="00A25486" w:rsidRPr="004F57F3" w14:paraId="0CB04DED" w14:textId="77777777" w:rsidTr="00A25486">
        <w:trPr>
          <w:trHeight w:val="204"/>
        </w:trPr>
        <w:tc>
          <w:tcPr>
            <w:tcW w:w="5368" w:type="dxa"/>
            <w:tcBorders>
              <w:right w:val="single" w:sz="4" w:space="0" w:color="auto"/>
            </w:tcBorders>
          </w:tcPr>
          <w:p w14:paraId="608D6333" w14:textId="77777777" w:rsidR="00A25486" w:rsidRPr="004F57F3" w:rsidRDefault="00A25486" w:rsidP="00B47B37">
            <w:pPr>
              <w:spacing w:line="220" w:lineRule="exact"/>
              <w:rPr>
                <w:rFonts w:ascii="Arial" w:hAnsi="Arial" w:cs="Arial"/>
                <w:caps/>
              </w:rPr>
            </w:pPr>
          </w:p>
        </w:tc>
        <w:tc>
          <w:tcPr>
            <w:tcW w:w="4126" w:type="dxa"/>
            <w:tcBorders>
              <w:left w:val="single" w:sz="4" w:space="0" w:color="auto"/>
            </w:tcBorders>
          </w:tcPr>
          <w:p w14:paraId="2B2384F4" w14:textId="77777777" w:rsidR="00A25486" w:rsidRPr="004F57F3" w:rsidRDefault="00A25486" w:rsidP="00B47B37">
            <w:pPr>
              <w:spacing w:line="220" w:lineRule="exact"/>
              <w:rPr>
                <w:rFonts w:ascii="Arial" w:hAnsi="Arial" w:cs="Arial"/>
              </w:rPr>
            </w:pPr>
          </w:p>
        </w:tc>
      </w:tr>
      <w:tr w:rsidR="00A25486" w:rsidRPr="004F57F3" w14:paraId="2962B5BF" w14:textId="77777777" w:rsidTr="00A25486">
        <w:trPr>
          <w:trHeight w:val="1801"/>
        </w:trPr>
        <w:tc>
          <w:tcPr>
            <w:tcW w:w="5368" w:type="dxa"/>
            <w:tcBorders>
              <w:right w:val="single" w:sz="4" w:space="0" w:color="auto"/>
            </w:tcBorders>
          </w:tcPr>
          <w:p w14:paraId="62AA22EF" w14:textId="77777777" w:rsidR="00A25486" w:rsidRPr="004F57F3" w:rsidRDefault="00A25486" w:rsidP="00B47B37">
            <w:pPr>
              <w:spacing w:line="220" w:lineRule="exact"/>
              <w:rPr>
                <w:rFonts w:ascii="Arial" w:hAnsi="Arial" w:cs="Arial"/>
              </w:rPr>
            </w:pPr>
            <w:r>
              <w:rPr>
                <w:rFonts w:ascii="Arial" w:hAnsi="Arial" w:cs="Arial"/>
                <w:i/>
              </w:rPr>
              <w:t xml:space="preserve">       </w:t>
            </w:r>
            <w:r w:rsidRPr="004F57F3">
              <w:rPr>
                <w:rFonts w:ascii="Arial" w:hAnsi="Arial" w:cs="Arial"/>
                <w:i/>
              </w:rPr>
              <w:t>Defendants and Counterclaimants</w:t>
            </w:r>
            <w:r w:rsidRPr="004F57F3">
              <w:rPr>
                <w:rFonts w:ascii="Arial" w:hAnsi="Arial" w:cs="Arial"/>
              </w:rPr>
              <w:t>.</w:t>
            </w:r>
          </w:p>
          <w:p w14:paraId="340B209D" w14:textId="77777777" w:rsidR="00A25486" w:rsidRPr="004F57F3" w:rsidRDefault="00A25486" w:rsidP="00B47B37">
            <w:pPr>
              <w:spacing w:line="220" w:lineRule="exact"/>
              <w:rPr>
                <w:rFonts w:ascii="Arial" w:hAnsi="Arial" w:cs="Arial"/>
              </w:rPr>
            </w:pPr>
          </w:p>
          <w:p w14:paraId="29EEEF31" w14:textId="77777777" w:rsidR="00A25486" w:rsidRPr="004F57F3" w:rsidRDefault="00A25486" w:rsidP="00B47B37">
            <w:pPr>
              <w:spacing w:line="220" w:lineRule="exact"/>
              <w:rPr>
                <w:rFonts w:ascii="Arial" w:hAnsi="Arial" w:cs="Arial"/>
              </w:rPr>
            </w:pPr>
            <w:r w:rsidRPr="004F57F3">
              <w:rPr>
                <w:rFonts w:ascii="Arial" w:hAnsi="Arial" w:cs="Arial"/>
              </w:rPr>
              <w:t xml:space="preserve">       vs. </w:t>
            </w:r>
          </w:p>
          <w:p w14:paraId="4E5B0191" w14:textId="77777777" w:rsidR="00A25486" w:rsidRPr="004F57F3" w:rsidRDefault="00A25486" w:rsidP="00B47B37">
            <w:pPr>
              <w:spacing w:line="220" w:lineRule="exact"/>
              <w:rPr>
                <w:rFonts w:ascii="Arial" w:hAnsi="Arial" w:cs="Arial"/>
              </w:rPr>
            </w:pPr>
          </w:p>
          <w:p w14:paraId="1457FE8E" w14:textId="77777777" w:rsidR="00A25486" w:rsidRPr="004F57F3" w:rsidRDefault="00A25486" w:rsidP="00B47B37">
            <w:pPr>
              <w:tabs>
                <w:tab w:val="left" w:pos="720"/>
              </w:tabs>
              <w:spacing w:line="220" w:lineRule="exact"/>
              <w:rPr>
                <w:rFonts w:ascii="Arial" w:hAnsi="Arial" w:cs="Arial"/>
                <w:w w:val="105"/>
              </w:rPr>
            </w:pPr>
            <w:r w:rsidRPr="004F57F3">
              <w:rPr>
                <w:rFonts w:ascii="Arial" w:hAnsi="Arial" w:cs="Arial"/>
                <w:b/>
                <w:w w:val="105"/>
              </w:rPr>
              <w:t>WALEED</w:t>
            </w:r>
            <w:r w:rsidRPr="004F57F3">
              <w:rPr>
                <w:rFonts w:ascii="Arial" w:hAnsi="Arial" w:cs="Arial"/>
                <w:b/>
                <w:spacing w:val="3"/>
                <w:w w:val="105"/>
              </w:rPr>
              <w:t xml:space="preserve"> </w:t>
            </w:r>
            <w:r w:rsidRPr="004F57F3">
              <w:rPr>
                <w:rFonts w:ascii="Arial" w:hAnsi="Arial" w:cs="Arial"/>
                <w:b/>
                <w:w w:val="105"/>
              </w:rPr>
              <w:t>HAMED,</w:t>
            </w:r>
            <w:r w:rsidRPr="004F57F3">
              <w:rPr>
                <w:rFonts w:ascii="Arial" w:hAnsi="Arial" w:cs="Arial"/>
                <w:b/>
                <w:spacing w:val="1"/>
                <w:w w:val="105"/>
              </w:rPr>
              <w:t xml:space="preserve"> </w:t>
            </w:r>
            <w:r w:rsidRPr="004F57F3">
              <w:rPr>
                <w:rFonts w:ascii="Arial" w:hAnsi="Arial" w:cs="Arial"/>
                <w:b/>
                <w:w w:val="105"/>
              </w:rPr>
              <w:t>WAHEED</w:t>
            </w:r>
            <w:r w:rsidRPr="004F57F3">
              <w:rPr>
                <w:rFonts w:ascii="Arial" w:hAnsi="Arial" w:cs="Arial"/>
                <w:spacing w:val="7"/>
                <w:w w:val="105"/>
              </w:rPr>
              <w:t xml:space="preserve"> </w:t>
            </w:r>
            <w:r w:rsidRPr="004F57F3">
              <w:rPr>
                <w:rFonts w:ascii="Arial" w:hAnsi="Arial" w:cs="Arial"/>
                <w:b/>
                <w:w w:val="105"/>
              </w:rPr>
              <w:t>HAMED, MUFEED</w:t>
            </w:r>
            <w:r w:rsidRPr="004F57F3">
              <w:rPr>
                <w:rFonts w:ascii="Arial" w:hAnsi="Arial" w:cs="Arial"/>
                <w:b/>
                <w:spacing w:val="4"/>
                <w:w w:val="105"/>
              </w:rPr>
              <w:t xml:space="preserve"> </w:t>
            </w:r>
            <w:r w:rsidRPr="004F57F3">
              <w:rPr>
                <w:rFonts w:ascii="Arial" w:hAnsi="Arial" w:cs="Arial"/>
                <w:b/>
                <w:w w:val="105"/>
              </w:rPr>
              <w:t>HAMED,</w:t>
            </w:r>
            <w:r w:rsidRPr="004F57F3">
              <w:rPr>
                <w:rFonts w:ascii="Arial" w:hAnsi="Arial" w:cs="Arial"/>
                <w:b/>
                <w:spacing w:val="-9"/>
                <w:w w:val="105"/>
              </w:rPr>
              <w:t xml:space="preserve"> </w:t>
            </w:r>
            <w:r w:rsidRPr="004F57F3">
              <w:rPr>
                <w:rFonts w:ascii="Arial" w:hAnsi="Arial" w:cs="Arial"/>
                <w:b/>
                <w:w w:val="105"/>
              </w:rPr>
              <w:t>HISHAM</w:t>
            </w:r>
            <w:r w:rsidRPr="004F57F3">
              <w:rPr>
                <w:rFonts w:ascii="Arial" w:hAnsi="Arial" w:cs="Arial"/>
                <w:b/>
                <w:spacing w:val="5"/>
                <w:w w:val="105"/>
              </w:rPr>
              <w:t xml:space="preserve"> </w:t>
            </w:r>
            <w:r w:rsidRPr="004F57F3">
              <w:rPr>
                <w:rFonts w:ascii="Arial" w:hAnsi="Arial" w:cs="Arial"/>
                <w:b/>
                <w:w w:val="105"/>
              </w:rPr>
              <w:t>HAMED,</w:t>
            </w:r>
            <w:r w:rsidRPr="004F57F3">
              <w:rPr>
                <w:rFonts w:ascii="Arial" w:hAnsi="Arial" w:cs="Arial"/>
                <w:spacing w:val="3"/>
                <w:w w:val="105"/>
              </w:rPr>
              <w:t xml:space="preserve"> </w:t>
            </w:r>
            <w:r w:rsidRPr="004F57F3">
              <w:rPr>
                <w:rFonts w:ascii="Arial" w:hAnsi="Arial" w:cs="Arial"/>
                <w:b/>
                <w:w w:val="105"/>
              </w:rPr>
              <w:t>and</w:t>
            </w:r>
            <w:r w:rsidRPr="004F57F3">
              <w:rPr>
                <w:rFonts w:ascii="Arial" w:hAnsi="Arial" w:cs="Arial"/>
                <w:b/>
                <w:spacing w:val="53"/>
                <w:w w:val="105"/>
              </w:rPr>
              <w:t xml:space="preserve"> </w:t>
            </w:r>
            <w:r w:rsidRPr="004F57F3">
              <w:rPr>
                <w:rFonts w:ascii="Arial" w:hAnsi="Arial" w:cs="Arial"/>
                <w:b/>
                <w:w w:val="105"/>
              </w:rPr>
              <w:t>PLESSEN</w:t>
            </w:r>
            <w:r w:rsidRPr="004F57F3">
              <w:rPr>
                <w:rFonts w:ascii="Arial" w:hAnsi="Arial" w:cs="Arial"/>
                <w:b/>
                <w:spacing w:val="15"/>
                <w:w w:val="105"/>
              </w:rPr>
              <w:t xml:space="preserve"> </w:t>
            </w:r>
            <w:r w:rsidRPr="004F57F3">
              <w:rPr>
                <w:rFonts w:ascii="Arial" w:hAnsi="Arial" w:cs="Arial"/>
                <w:b/>
                <w:w w:val="105"/>
              </w:rPr>
              <w:t>ENTERPRISES,</w:t>
            </w:r>
            <w:r w:rsidRPr="004F57F3">
              <w:rPr>
                <w:rFonts w:ascii="Arial" w:hAnsi="Arial" w:cs="Arial"/>
                <w:b/>
                <w:spacing w:val="14"/>
                <w:w w:val="105"/>
              </w:rPr>
              <w:t xml:space="preserve"> </w:t>
            </w:r>
            <w:r w:rsidRPr="004F57F3">
              <w:rPr>
                <w:rFonts w:ascii="Arial" w:hAnsi="Arial" w:cs="Arial"/>
                <w:b/>
                <w:w w:val="105"/>
              </w:rPr>
              <w:t>INC.</w:t>
            </w:r>
            <w:r w:rsidRPr="004F57F3">
              <w:rPr>
                <w:rFonts w:ascii="Arial" w:hAnsi="Arial" w:cs="Arial"/>
                <w:w w:val="105"/>
              </w:rPr>
              <w:t>,</w:t>
            </w:r>
            <w:r w:rsidRPr="004F57F3">
              <w:rPr>
                <w:rFonts w:ascii="Arial" w:hAnsi="Arial" w:cs="Arial"/>
                <w:w w:val="105"/>
              </w:rPr>
              <w:tab/>
            </w:r>
          </w:p>
          <w:p w14:paraId="0ECD5020" w14:textId="77777777" w:rsidR="00A25486" w:rsidRPr="004F57F3" w:rsidRDefault="00A25486" w:rsidP="00B47B37">
            <w:pPr>
              <w:tabs>
                <w:tab w:val="left" w:pos="720"/>
              </w:tabs>
              <w:spacing w:line="220" w:lineRule="exact"/>
              <w:rPr>
                <w:rFonts w:ascii="Arial" w:hAnsi="Arial" w:cs="Arial"/>
                <w:i/>
              </w:rPr>
            </w:pPr>
          </w:p>
          <w:p w14:paraId="75879A7D" w14:textId="77777777" w:rsidR="00A25486" w:rsidRPr="004F57F3" w:rsidRDefault="00A25486" w:rsidP="00B47B37">
            <w:pPr>
              <w:tabs>
                <w:tab w:val="left" w:pos="720"/>
              </w:tabs>
              <w:spacing w:line="220" w:lineRule="exact"/>
              <w:rPr>
                <w:rFonts w:ascii="Arial" w:hAnsi="Arial" w:cs="Arial"/>
              </w:rPr>
            </w:pPr>
            <w:r w:rsidRPr="004F57F3">
              <w:rPr>
                <w:rFonts w:ascii="Arial" w:hAnsi="Arial" w:cs="Arial"/>
                <w:i/>
              </w:rPr>
              <w:t xml:space="preserve">       Counterclaim</w:t>
            </w:r>
            <w:r w:rsidRPr="004F57F3">
              <w:rPr>
                <w:rFonts w:ascii="Arial" w:hAnsi="Arial" w:cs="Arial"/>
                <w:i/>
                <w:spacing w:val="35"/>
              </w:rPr>
              <w:t xml:space="preserve"> </w:t>
            </w:r>
            <w:r w:rsidRPr="004F57F3">
              <w:rPr>
                <w:rFonts w:ascii="Arial" w:hAnsi="Arial" w:cs="Arial"/>
                <w:i/>
              </w:rPr>
              <w:t>Defendants</w:t>
            </w:r>
            <w:r w:rsidRPr="004F57F3">
              <w:rPr>
                <w:rFonts w:ascii="Arial" w:hAnsi="Arial" w:cs="Arial"/>
              </w:rPr>
              <w:t>,</w:t>
            </w:r>
          </w:p>
        </w:tc>
        <w:tc>
          <w:tcPr>
            <w:tcW w:w="4126" w:type="dxa"/>
            <w:tcBorders>
              <w:left w:val="single" w:sz="4" w:space="0" w:color="auto"/>
            </w:tcBorders>
          </w:tcPr>
          <w:p w14:paraId="6E3E9675" w14:textId="77777777" w:rsidR="00A25486" w:rsidRPr="004F57F3" w:rsidRDefault="00A25486" w:rsidP="00B47B37">
            <w:pPr>
              <w:spacing w:line="220" w:lineRule="exact"/>
              <w:rPr>
                <w:rFonts w:ascii="Arial" w:hAnsi="Arial" w:cs="Arial"/>
                <w:u w:val="single"/>
              </w:rPr>
            </w:pPr>
            <w:r w:rsidRPr="004F57F3">
              <w:rPr>
                <w:rFonts w:ascii="Arial" w:hAnsi="Arial" w:cs="Arial"/>
                <w:u w:val="single"/>
              </w:rPr>
              <w:t>JURY TRIAL DEMANDED</w:t>
            </w:r>
          </w:p>
          <w:p w14:paraId="721EF9D1" w14:textId="77777777" w:rsidR="00A25486" w:rsidRPr="004F57F3" w:rsidRDefault="00A25486" w:rsidP="00B47B37">
            <w:pPr>
              <w:spacing w:line="220" w:lineRule="exact"/>
              <w:rPr>
                <w:rFonts w:ascii="Arial" w:hAnsi="Arial" w:cs="Arial"/>
              </w:rPr>
            </w:pPr>
          </w:p>
        </w:tc>
      </w:tr>
      <w:tr w:rsidR="00A25486" w:rsidRPr="004F57F3" w14:paraId="6DFDA217" w14:textId="77777777" w:rsidTr="00A25486">
        <w:trPr>
          <w:trHeight w:val="204"/>
        </w:trPr>
        <w:tc>
          <w:tcPr>
            <w:tcW w:w="5368" w:type="dxa"/>
            <w:tcBorders>
              <w:bottom w:val="single" w:sz="4" w:space="0" w:color="auto"/>
              <w:right w:val="single" w:sz="4" w:space="0" w:color="auto"/>
            </w:tcBorders>
          </w:tcPr>
          <w:p w14:paraId="4AE32CBD" w14:textId="77777777" w:rsidR="00A25486" w:rsidRPr="004F57F3" w:rsidRDefault="00A25486" w:rsidP="00B47B37">
            <w:pPr>
              <w:spacing w:line="220" w:lineRule="exact"/>
              <w:rPr>
                <w:rFonts w:ascii="Arial" w:hAnsi="Arial" w:cs="Arial"/>
              </w:rPr>
            </w:pPr>
          </w:p>
        </w:tc>
        <w:tc>
          <w:tcPr>
            <w:tcW w:w="4126" w:type="dxa"/>
            <w:tcBorders>
              <w:left w:val="single" w:sz="4" w:space="0" w:color="auto"/>
            </w:tcBorders>
          </w:tcPr>
          <w:p w14:paraId="08382C06" w14:textId="77777777" w:rsidR="00A25486" w:rsidRPr="004F57F3" w:rsidRDefault="00A25486" w:rsidP="00B47B37">
            <w:pPr>
              <w:spacing w:line="220" w:lineRule="exact"/>
              <w:rPr>
                <w:rFonts w:ascii="Arial" w:hAnsi="Arial" w:cs="Arial"/>
              </w:rPr>
            </w:pPr>
            <w:r>
              <w:rPr>
                <w:rFonts w:ascii="Arial" w:hAnsi="Arial" w:cs="Arial"/>
              </w:rPr>
              <w:t>Consolidated with</w:t>
            </w:r>
          </w:p>
        </w:tc>
      </w:tr>
      <w:tr w:rsidR="00A25486" w:rsidRPr="004F57F3" w14:paraId="4F2B9625" w14:textId="77777777" w:rsidTr="00A25486">
        <w:trPr>
          <w:trHeight w:val="1201"/>
        </w:trPr>
        <w:tc>
          <w:tcPr>
            <w:tcW w:w="5368" w:type="dxa"/>
            <w:tcBorders>
              <w:right w:val="single" w:sz="4" w:space="0" w:color="auto"/>
            </w:tcBorders>
          </w:tcPr>
          <w:p w14:paraId="36404A3C" w14:textId="77777777" w:rsidR="00A25486" w:rsidRPr="004F57F3" w:rsidRDefault="00A25486" w:rsidP="00B47B37">
            <w:pPr>
              <w:tabs>
                <w:tab w:val="left" w:pos="1320"/>
              </w:tabs>
              <w:spacing w:line="220" w:lineRule="exact"/>
              <w:ind w:right="524"/>
              <w:rPr>
                <w:rFonts w:ascii="Arial" w:hAnsi="Arial" w:cs="Arial"/>
                <w:b/>
              </w:rPr>
            </w:pPr>
            <w:r>
              <w:rPr>
                <w:rFonts w:ascii="Arial" w:hAnsi="Arial" w:cs="Arial"/>
                <w:b/>
              </w:rPr>
              <w:tab/>
            </w:r>
          </w:p>
          <w:p w14:paraId="5B6CBFA1" w14:textId="77777777" w:rsidR="00A25486" w:rsidRDefault="00A25486" w:rsidP="00B47B37">
            <w:pPr>
              <w:tabs>
                <w:tab w:val="left" w:pos="720"/>
              </w:tabs>
              <w:spacing w:line="220" w:lineRule="exact"/>
              <w:ind w:right="524"/>
              <w:rPr>
                <w:rFonts w:ascii="Arial" w:hAnsi="Arial" w:cs="Arial"/>
                <w:i/>
              </w:rPr>
            </w:pPr>
            <w:r w:rsidRPr="00DE7612">
              <w:rPr>
                <w:rFonts w:ascii="Arial" w:hAnsi="Arial" w:cs="Arial"/>
                <w:b/>
                <w:spacing w:val="6"/>
              </w:rPr>
              <w:t>W</w:t>
            </w:r>
            <w:r w:rsidRPr="00DE7612">
              <w:rPr>
                <w:rFonts w:ascii="Arial" w:hAnsi="Arial" w:cs="Arial"/>
                <w:b/>
              </w:rPr>
              <w:t>ALEED</w:t>
            </w:r>
            <w:r w:rsidRPr="00DE7612">
              <w:rPr>
                <w:rFonts w:ascii="Arial" w:hAnsi="Arial" w:cs="Arial"/>
                <w:b/>
                <w:spacing w:val="19"/>
              </w:rPr>
              <w:t xml:space="preserve"> </w:t>
            </w:r>
            <w:r w:rsidRPr="00DE7612">
              <w:rPr>
                <w:rFonts w:ascii="Arial" w:hAnsi="Arial" w:cs="Arial"/>
                <w:b/>
              </w:rPr>
              <w:t>HAMED</w:t>
            </w:r>
            <w:r w:rsidRPr="004F57F3">
              <w:rPr>
                <w:rFonts w:ascii="Arial" w:hAnsi="Arial" w:cs="Arial"/>
                <w:caps/>
              </w:rPr>
              <w:t>,</w:t>
            </w:r>
            <w:r w:rsidRPr="004F57F3">
              <w:rPr>
                <w:rFonts w:ascii="Arial" w:hAnsi="Arial" w:cs="Arial"/>
                <w:b/>
              </w:rPr>
              <w:t xml:space="preserve"> </w:t>
            </w:r>
            <w:r w:rsidRPr="00DE7612">
              <w:rPr>
                <w:rFonts w:ascii="Arial" w:hAnsi="Arial" w:cs="Arial"/>
              </w:rPr>
              <w:t>as the Executor of the Estate of MOHAMMAD</w:t>
            </w:r>
            <w:r w:rsidRPr="00DE7612">
              <w:rPr>
                <w:rFonts w:ascii="Arial" w:hAnsi="Arial" w:cs="Arial"/>
                <w:spacing w:val="20"/>
              </w:rPr>
              <w:t xml:space="preserve"> </w:t>
            </w:r>
            <w:r w:rsidRPr="00DE7612">
              <w:rPr>
                <w:rFonts w:ascii="Arial" w:hAnsi="Arial" w:cs="Arial"/>
              </w:rPr>
              <w:t>HAMED</w:t>
            </w:r>
            <w:r w:rsidRPr="004F57F3">
              <w:rPr>
                <w:rFonts w:ascii="Arial" w:hAnsi="Arial" w:cs="Arial"/>
              </w:rPr>
              <w:t>,</w:t>
            </w:r>
            <w:r>
              <w:rPr>
                <w:rFonts w:ascii="Arial" w:hAnsi="Arial" w:cs="Arial"/>
              </w:rPr>
              <w:t xml:space="preserve"> </w:t>
            </w:r>
            <w:r w:rsidRPr="00FF6BD2">
              <w:rPr>
                <w:rFonts w:ascii="Arial" w:hAnsi="Arial" w:cs="Arial"/>
                <w:i/>
              </w:rPr>
              <w:t>Plaintiff,</w:t>
            </w:r>
          </w:p>
          <w:p w14:paraId="7600698A" w14:textId="77777777" w:rsidR="00A25486" w:rsidRPr="005C7940" w:rsidRDefault="00A25486" w:rsidP="00B47B37">
            <w:pPr>
              <w:tabs>
                <w:tab w:val="left" w:pos="720"/>
              </w:tabs>
              <w:spacing w:line="220" w:lineRule="exact"/>
              <w:ind w:right="524"/>
              <w:rPr>
                <w:rFonts w:ascii="Arial" w:hAnsi="Arial" w:cs="Arial"/>
                <w:sz w:val="8"/>
                <w:szCs w:val="8"/>
              </w:rPr>
            </w:pPr>
          </w:p>
          <w:p w14:paraId="08DDBC1C" w14:textId="77777777" w:rsidR="00A25486" w:rsidRDefault="00A25486" w:rsidP="00B47B37">
            <w:pPr>
              <w:tabs>
                <w:tab w:val="left" w:pos="720"/>
              </w:tabs>
              <w:spacing w:line="220" w:lineRule="exact"/>
              <w:ind w:right="524"/>
              <w:rPr>
                <w:rFonts w:ascii="Arial" w:hAnsi="Arial" w:cs="Arial"/>
              </w:rPr>
            </w:pPr>
            <w:r>
              <w:rPr>
                <w:rFonts w:ascii="Arial" w:hAnsi="Arial" w:cs="Arial"/>
                <w:caps/>
              </w:rPr>
              <w:t xml:space="preserve">    </w:t>
            </w:r>
            <w:r>
              <w:rPr>
                <w:rFonts w:ascii="Arial" w:hAnsi="Arial" w:cs="Arial"/>
              </w:rPr>
              <w:t xml:space="preserve">    vs. </w:t>
            </w:r>
          </w:p>
          <w:p w14:paraId="3D864415" w14:textId="77777777" w:rsidR="00A25486" w:rsidRPr="004F57F3" w:rsidRDefault="00A25486" w:rsidP="00B47B37">
            <w:pPr>
              <w:tabs>
                <w:tab w:val="left" w:pos="720"/>
              </w:tabs>
              <w:spacing w:line="220" w:lineRule="exact"/>
              <w:ind w:right="524"/>
              <w:rPr>
                <w:rFonts w:ascii="Arial" w:hAnsi="Arial" w:cs="Arial"/>
                <w:caps/>
              </w:rPr>
            </w:pPr>
          </w:p>
        </w:tc>
        <w:tc>
          <w:tcPr>
            <w:tcW w:w="4126" w:type="dxa"/>
            <w:tcBorders>
              <w:left w:val="single" w:sz="4" w:space="0" w:color="auto"/>
            </w:tcBorders>
          </w:tcPr>
          <w:p w14:paraId="62EE9F29" w14:textId="77777777" w:rsidR="00A25486" w:rsidRPr="004F57F3" w:rsidRDefault="00A25486" w:rsidP="00B47B37">
            <w:pPr>
              <w:spacing w:line="220" w:lineRule="exact"/>
              <w:rPr>
                <w:rFonts w:ascii="Arial" w:hAnsi="Arial" w:cs="Arial"/>
              </w:rPr>
            </w:pPr>
          </w:p>
          <w:p w14:paraId="775CD74F" w14:textId="77777777" w:rsidR="00A25486" w:rsidRDefault="00A25486" w:rsidP="00B47B37">
            <w:pPr>
              <w:spacing w:line="220" w:lineRule="exact"/>
              <w:rPr>
                <w:rFonts w:ascii="Arial" w:hAnsi="Arial" w:cs="Arial"/>
                <w:b/>
              </w:rPr>
            </w:pPr>
          </w:p>
          <w:p w14:paraId="3FBCF5B9" w14:textId="77777777" w:rsidR="00A25486" w:rsidRPr="00CA2792" w:rsidRDefault="00A25486" w:rsidP="00B47B37">
            <w:pPr>
              <w:spacing w:line="220" w:lineRule="exact"/>
              <w:rPr>
                <w:rFonts w:ascii="Arial" w:hAnsi="Arial" w:cs="Arial"/>
                <w:b/>
              </w:rPr>
            </w:pPr>
            <w:r w:rsidRPr="00CA2792">
              <w:rPr>
                <w:rFonts w:ascii="Arial" w:hAnsi="Arial" w:cs="Arial"/>
                <w:b/>
              </w:rPr>
              <w:t>Case No.: SX-2014-CV-287</w:t>
            </w:r>
          </w:p>
        </w:tc>
      </w:tr>
      <w:tr w:rsidR="00A25486" w:rsidRPr="004F57F3" w14:paraId="5FED4583" w14:textId="77777777" w:rsidTr="00A25486">
        <w:trPr>
          <w:trHeight w:val="191"/>
        </w:trPr>
        <w:tc>
          <w:tcPr>
            <w:tcW w:w="5368" w:type="dxa"/>
            <w:tcBorders>
              <w:right w:val="single" w:sz="4" w:space="0" w:color="auto"/>
            </w:tcBorders>
          </w:tcPr>
          <w:p w14:paraId="562BDE69" w14:textId="77777777" w:rsidR="00A25486" w:rsidRPr="004F57F3" w:rsidRDefault="00A25486" w:rsidP="00B47B37">
            <w:pPr>
              <w:spacing w:line="220" w:lineRule="exact"/>
              <w:rPr>
                <w:rFonts w:ascii="Arial" w:hAnsi="Arial" w:cs="Arial"/>
                <w:caps/>
              </w:rPr>
            </w:pPr>
            <w:r>
              <w:rPr>
                <w:rFonts w:ascii="Arial" w:hAnsi="Arial" w:cs="Arial"/>
                <w:b/>
                <w:w w:val="105"/>
              </w:rPr>
              <w:t>UNITED CORPORATION</w:t>
            </w:r>
            <w:r w:rsidRPr="004F57F3">
              <w:rPr>
                <w:rFonts w:ascii="Arial" w:hAnsi="Arial" w:cs="Arial"/>
                <w:b/>
              </w:rPr>
              <w:t>,</w:t>
            </w:r>
            <w:r w:rsidRPr="004F57F3">
              <w:rPr>
                <w:rFonts w:ascii="Arial" w:hAnsi="Arial" w:cs="Arial"/>
                <w:caps/>
              </w:rPr>
              <w:t xml:space="preserve"> </w:t>
            </w:r>
            <w:r w:rsidRPr="00E97CEE">
              <w:rPr>
                <w:rFonts w:ascii="Arial" w:hAnsi="Arial" w:cs="Arial"/>
                <w:i/>
              </w:rPr>
              <w:t>Defendant</w:t>
            </w:r>
            <w:r>
              <w:rPr>
                <w:rFonts w:ascii="Arial" w:hAnsi="Arial" w:cs="Arial"/>
                <w:i/>
              </w:rPr>
              <w:t>.</w:t>
            </w:r>
          </w:p>
        </w:tc>
        <w:tc>
          <w:tcPr>
            <w:tcW w:w="4126" w:type="dxa"/>
            <w:tcBorders>
              <w:left w:val="single" w:sz="4" w:space="0" w:color="auto"/>
            </w:tcBorders>
          </w:tcPr>
          <w:p w14:paraId="6C003B3B" w14:textId="77777777" w:rsidR="00A25486" w:rsidRPr="004F57F3" w:rsidRDefault="00A25486" w:rsidP="00B47B37">
            <w:pPr>
              <w:spacing w:line="220" w:lineRule="exact"/>
              <w:rPr>
                <w:rFonts w:ascii="Arial" w:hAnsi="Arial" w:cs="Arial"/>
              </w:rPr>
            </w:pPr>
          </w:p>
        </w:tc>
      </w:tr>
      <w:tr w:rsidR="00A25486" w:rsidRPr="004F57F3" w14:paraId="79A11AF2" w14:textId="77777777" w:rsidTr="00A25486">
        <w:trPr>
          <w:trHeight w:val="1610"/>
        </w:trPr>
        <w:tc>
          <w:tcPr>
            <w:tcW w:w="5368" w:type="dxa"/>
            <w:tcBorders>
              <w:right w:val="single" w:sz="4" w:space="0" w:color="auto"/>
            </w:tcBorders>
          </w:tcPr>
          <w:p w14:paraId="2C908ED4" w14:textId="77777777" w:rsidR="00A25486" w:rsidRPr="005C7940" w:rsidRDefault="00A25486" w:rsidP="00B47B37">
            <w:pPr>
              <w:spacing w:line="220" w:lineRule="exact"/>
              <w:ind w:left="720"/>
              <w:rPr>
                <w:rFonts w:ascii="Arial" w:hAnsi="Arial" w:cs="Arial"/>
                <w:sz w:val="8"/>
                <w:szCs w:val="8"/>
              </w:rPr>
            </w:pPr>
            <w:r>
              <w:rPr>
                <w:rFonts w:ascii="Arial" w:hAnsi="Arial" w:cs="Arial"/>
                <w:i/>
                <w:noProof/>
              </w:rPr>
              <mc:AlternateContent>
                <mc:Choice Requires="wps">
                  <w:drawing>
                    <wp:anchor distT="0" distB="0" distL="114300" distR="114300" simplePos="0" relativeHeight="251660288" behindDoc="0" locked="0" layoutInCell="1" allowOverlap="1" wp14:anchorId="1F6C5299" wp14:editId="19A97494">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1FD8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rPr>
              <w:softHyphen/>
            </w:r>
            <w:r>
              <w:rPr>
                <w:rFonts w:ascii="Arial" w:hAnsi="Arial" w:cs="Arial"/>
              </w:rPr>
              <w:softHyphen/>
            </w:r>
          </w:p>
          <w:p w14:paraId="40C4257F" w14:textId="77777777" w:rsidR="00A25486" w:rsidRDefault="00A25486" w:rsidP="00B47B37">
            <w:pPr>
              <w:spacing w:line="220" w:lineRule="exact"/>
              <w:ind w:left="720"/>
              <w:rPr>
                <w:rFonts w:ascii="Arial" w:hAnsi="Arial" w:cs="Arial"/>
              </w:rPr>
            </w:pPr>
          </w:p>
          <w:p w14:paraId="3FDF41BE" w14:textId="77777777" w:rsidR="00A25486" w:rsidRDefault="00A25486" w:rsidP="00B47B37">
            <w:pPr>
              <w:tabs>
                <w:tab w:val="left" w:pos="720"/>
              </w:tabs>
              <w:spacing w:line="220" w:lineRule="exact"/>
              <w:ind w:right="524"/>
              <w:rPr>
                <w:rFonts w:ascii="Arial" w:hAnsi="Arial" w:cs="Arial"/>
              </w:rPr>
            </w:pPr>
            <w:r w:rsidRPr="00DE7612">
              <w:rPr>
                <w:rFonts w:ascii="Arial" w:hAnsi="Arial" w:cs="Arial"/>
                <w:b/>
                <w:spacing w:val="6"/>
              </w:rPr>
              <w:t>W</w:t>
            </w:r>
            <w:r w:rsidRPr="00DE7612">
              <w:rPr>
                <w:rFonts w:ascii="Arial" w:hAnsi="Arial" w:cs="Arial"/>
                <w:b/>
              </w:rPr>
              <w:t>ALEED</w:t>
            </w:r>
            <w:r w:rsidRPr="00DE7612">
              <w:rPr>
                <w:rFonts w:ascii="Arial" w:hAnsi="Arial" w:cs="Arial"/>
                <w:b/>
                <w:spacing w:val="19"/>
              </w:rPr>
              <w:t xml:space="preserve"> </w:t>
            </w:r>
            <w:r w:rsidRPr="00DE7612">
              <w:rPr>
                <w:rFonts w:ascii="Arial" w:hAnsi="Arial" w:cs="Arial"/>
                <w:b/>
              </w:rPr>
              <w:t>HAMED</w:t>
            </w:r>
            <w:r w:rsidRPr="004F57F3">
              <w:rPr>
                <w:rFonts w:ascii="Arial" w:hAnsi="Arial" w:cs="Arial"/>
                <w:caps/>
              </w:rPr>
              <w:t>,</w:t>
            </w:r>
            <w:r w:rsidRPr="004F57F3">
              <w:rPr>
                <w:rFonts w:ascii="Arial" w:hAnsi="Arial" w:cs="Arial"/>
                <w:b/>
              </w:rPr>
              <w:t xml:space="preserve"> </w:t>
            </w:r>
            <w:r w:rsidRPr="00DE7612">
              <w:rPr>
                <w:rFonts w:ascii="Arial" w:hAnsi="Arial" w:cs="Arial"/>
              </w:rPr>
              <w:t>as the Executor of the Estate of MOHAMMAD</w:t>
            </w:r>
            <w:r w:rsidRPr="00DE7612">
              <w:rPr>
                <w:rFonts w:ascii="Arial" w:hAnsi="Arial" w:cs="Arial"/>
                <w:spacing w:val="20"/>
              </w:rPr>
              <w:t xml:space="preserve"> </w:t>
            </w:r>
            <w:r w:rsidRPr="00DE7612">
              <w:rPr>
                <w:rFonts w:ascii="Arial" w:hAnsi="Arial" w:cs="Arial"/>
              </w:rPr>
              <w:t>HAMED</w:t>
            </w:r>
            <w:r w:rsidRPr="004F57F3">
              <w:rPr>
                <w:rFonts w:ascii="Arial" w:hAnsi="Arial" w:cs="Arial"/>
              </w:rPr>
              <w:t>,</w:t>
            </w:r>
            <w:r>
              <w:rPr>
                <w:rFonts w:ascii="Arial" w:hAnsi="Arial" w:cs="Arial"/>
              </w:rPr>
              <w:t xml:space="preserve"> </w:t>
            </w:r>
            <w:r w:rsidRPr="00E97CEE">
              <w:rPr>
                <w:rFonts w:ascii="Arial" w:hAnsi="Arial" w:cs="Arial"/>
                <w:i/>
              </w:rPr>
              <w:t>Plaintiff</w:t>
            </w:r>
          </w:p>
          <w:p w14:paraId="72E9F03C" w14:textId="77777777" w:rsidR="00A25486" w:rsidRPr="005C7940" w:rsidRDefault="00A25486" w:rsidP="00B47B37">
            <w:pPr>
              <w:tabs>
                <w:tab w:val="left" w:pos="720"/>
              </w:tabs>
              <w:spacing w:line="220" w:lineRule="exact"/>
              <w:ind w:right="524"/>
              <w:rPr>
                <w:rFonts w:ascii="Arial" w:hAnsi="Arial" w:cs="Arial"/>
                <w:sz w:val="8"/>
                <w:szCs w:val="8"/>
              </w:rPr>
            </w:pPr>
            <w:r>
              <w:rPr>
                <w:rFonts w:ascii="Arial" w:hAnsi="Arial" w:cs="Arial"/>
              </w:rPr>
              <w:t xml:space="preserve">       </w:t>
            </w:r>
          </w:p>
          <w:p w14:paraId="13B22250" w14:textId="77777777" w:rsidR="00A25486" w:rsidRDefault="00A25486" w:rsidP="00B47B37">
            <w:pPr>
              <w:tabs>
                <w:tab w:val="left" w:pos="720"/>
              </w:tabs>
              <w:spacing w:line="220" w:lineRule="exact"/>
              <w:ind w:right="524"/>
              <w:rPr>
                <w:rFonts w:ascii="Arial" w:hAnsi="Arial" w:cs="Arial"/>
              </w:rPr>
            </w:pPr>
            <w:r>
              <w:rPr>
                <w:rFonts w:ascii="Arial" w:hAnsi="Arial" w:cs="Arial"/>
              </w:rPr>
              <w:t xml:space="preserve">        vs. </w:t>
            </w:r>
          </w:p>
          <w:p w14:paraId="33DB1BEC" w14:textId="77777777" w:rsidR="00A25486" w:rsidRPr="005C7940" w:rsidRDefault="00A25486" w:rsidP="00B47B37">
            <w:pPr>
              <w:spacing w:line="220" w:lineRule="exact"/>
              <w:rPr>
                <w:rFonts w:ascii="Arial" w:hAnsi="Arial" w:cs="Arial"/>
                <w:sz w:val="8"/>
                <w:szCs w:val="8"/>
              </w:rPr>
            </w:pPr>
            <w:r>
              <w:rPr>
                <w:rFonts w:ascii="Arial" w:hAnsi="Arial" w:cs="Arial"/>
              </w:rPr>
              <w:t xml:space="preserve">      </w:t>
            </w:r>
          </w:p>
          <w:p w14:paraId="77CB03CC" w14:textId="77777777" w:rsidR="00A25486" w:rsidRPr="004F57F3" w:rsidRDefault="00A25486" w:rsidP="00B47B37">
            <w:pPr>
              <w:spacing w:line="220" w:lineRule="exact"/>
              <w:rPr>
                <w:rFonts w:ascii="Arial" w:hAnsi="Arial" w:cs="Arial"/>
              </w:rPr>
            </w:pPr>
            <w:r w:rsidRPr="00CA2792">
              <w:rPr>
                <w:rFonts w:ascii="Arial" w:hAnsi="Arial" w:cs="Arial"/>
                <w:b/>
              </w:rPr>
              <w:t>FATHI YUSUF</w:t>
            </w:r>
            <w:r w:rsidRPr="00D92581">
              <w:rPr>
                <w:rFonts w:ascii="Arial" w:hAnsi="Arial" w:cs="Arial"/>
              </w:rPr>
              <w:t xml:space="preserve">, </w:t>
            </w:r>
            <w:r w:rsidRPr="00C42843">
              <w:rPr>
                <w:rFonts w:ascii="Arial" w:hAnsi="Arial" w:cs="Arial"/>
                <w:i/>
              </w:rPr>
              <w:t>Defendant.</w:t>
            </w:r>
          </w:p>
        </w:tc>
        <w:tc>
          <w:tcPr>
            <w:tcW w:w="4126" w:type="dxa"/>
            <w:tcBorders>
              <w:left w:val="single" w:sz="4" w:space="0" w:color="auto"/>
            </w:tcBorders>
          </w:tcPr>
          <w:p w14:paraId="425DABDC" w14:textId="77777777" w:rsidR="00A25486" w:rsidRPr="00282247" w:rsidRDefault="00A25486" w:rsidP="00B47B37">
            <w:pPr>
              <w:spacing w:line="220" w:lineRule="exact"/>
              <w:rPr>
                <w:rFonts w:ascii="Arial" w:hAnsi="Arial" w:cs="Arial"/>
              </w:rPr>
            </w:pPr>
            <w:r w:rsidRPr="00282247">
              <w:rPr>
                <w:rFonts w:ascii="Arial" w:hAnsi="Arial" w:cs="Arial"/>
              </w:rPr>
              <w:t>Consolidated with</w:t>
            </w:r>
          </w:p>
          <w:p w14:paraId="1E96EF6A" w14:textId="77777777" w:rsidR="00A25486" w:rsidRDefault="00A25486" w:rsidP="00B47B37">
            <w:pPr>
              <w:spacing w:line="220" w:lineRule="exact"/>
              <w:rPr>
                <w:rFonts w:ascii="Arial" w:hAnsi="Arial" w:cs="Arial"/>
                <w:b/>
              </w:rPr>
            </w:pPr>
          </w:p>
          <w:p w14:paraId="1F6B7CD8" w14:textId="77777777" w:rsidR="00A25486" w:rsidRPr="00CA2792" w:rsidRDefault="00A25486" w:rsidP="00B47B37">
            <w:pPr>
              <w:spacing w:line="220" w:lineRule="exact"/>
              <w:rPr>
                <w:rFonts w:ascii="Arial" w:hAnsi="Arial" w:cs="Arial"/>
                <w:b/>
              </w:rPr>
            </w:pPr>
            <w:r>
              <w:rPr>
                <w:rFonts w:ascii="Arial" w:hAnsi="Arial" w:cs="Arial"/>
                <w:b/>
              </w:rPr>
              <w:t>Case No.: SX-2014-CV-278</w:t>
            </w:r>
          </w:p>
        </w:tc>
      </w:tr>
      <w:tr w:rsidR="00A25486" w:rsidRPr="004F57F3" w14:paraId="74DE1573" w14:textId="77777777" w:rsidTr="00A25486">
        <w:trPr>
          <w:trHeight w:val="1801"/>
        </w:trPr>
        <w:tc>
          <w:tcPr>
            <w:tcW w:w="5368" w:type="dxa"/>
            <w:tcBorders>
              <w:right w:val="single" w:sz="4" w:space="0" w:color="auto"/>
            </w:tcBorders>
          </w:tcPr>
          <w:p w14:paraId="3493A3C3" w14:textId="77777777" w:rsidR="00A25486" w:rsidRPr="00D92581" w:rsidRDefault="00A25486" w:rsidP="00B47B37">
            <w:pPr>
              <w:spacing w:line="220" w:lineRule="exact"/>
              <w:ind w:left="720"/>
              <w:rPr>
                <w:rFonts w:ascii="Arial" w:hAnsi="Arial" w:cs="Arial"/>
              </w:rPr>
            </w:pPr>
            <w:r>
              <w:rPr>
                <w:rFonts w:ascii="Arial" w:hAnsi="Arial" w:cs="Arial"/>
                <w:i/>
                <w:noProof/>
              </w:rPr>
              <mc:AlternateContent>
                <mc:Choice Requires="wps">
                  <w:drawing>
                    <wp:anchor distT="0" distB="0" distL="114300" distR="114300" simplePos="0" relativeHeight="251659264" behindDoc="0" locked="0" layoutInCell="1" allowOverlap="1" wp14:anchorId="14E9FFB3" wp14:editId="700336C3">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9C572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rPr>
              <w:softHyphen/>
            </w:r>
            <w:r>
              <w:rPr>
                <w:rFonts w:ascii="Arial" w:hAnsi="Arial" w:cs="Arial"/>
              </w:rPr>
              <w:softHyphen/>
            </w:r>
          </w:p>
          <w:p w14:paraId="1EFE2E68" w14:textId="77777777" w:rsidR="00A25486" w:rsidRDefault="00A25486" w:rsidP="00B47B37">
            <w:pPr>
              <w:spacing w:line="220" w:lineRule="exact"/>
              <w:ind w:left="720"/>
              <w:rPr>
                <w:rFonts w:ascii="Arial" w:hAnsi="Arial" w:cs="Arial"/>
              </w:rPr>
            </w:pPr>
          </w:p>
          <w:p w14:paraId="184718F6" w14:textId="77777777" w:rsidR="00A25486" w:rsidRDefault="00A25486" w:rsidP="00B47B37">
            <w:pPr>
              <w:tabs>
                <w:tab w:val="left" w:pos="720"/>
              </w:tabs>
              <w:spacing w:line="220" w:lineRule="exact"/>
              <w:ind w:right="524"/>
              <w:rPr>
                <w:rFonts w:ascii="Arial" w:hAnsi="Arial" w:cs="Arial"/>
              </w:rPr>
            </w:pPr>
            <w:r>
              <w:rPr>
                <w:rFonts w:ascii="Arial" w:hAnsi="Arial" w:cs="Arial"/>
                <w:b/>
                <w:spacing w:val="6"/>
              </w:rPr>
              <w:t>FATHI YUSUF</w:t>
            </w:r>
            <w:r w:rsidRPr="004F57F3">
              <w:rPr>
                <w:rFonts w:ascii="Arial" w:hAnsi="Arial" w:cs="Arial"/>
                <w:caps/>
              </w:rPr>
              <w:t>,</w:t>
            </w:r>
            <w:r>
              <w:rPr>
                <w:rFonts w:ascii="Arial" w:hAnsi="Arial" w:cs="Arial"/>
              </w:rPr>
              <w:t xml:space="preserve"> </w:t>
            </w:r>
            <w:r w:rsidRPr="00AF58F0">
              <w:rPr>
                <w:rFonts w:ascii="Arial" w:hAnsi="Arial" w:cs="Arial"/>
                <w:i/>
              </w:rPr>
              <w:t>Plaintiff</w:t>
            </w:r>
            <w:r>
              <w:rPr>
                <w:rFonts w:ascii="Arial" w:hAnsi="Arial" w:cs="Arial"/>
              </w:rPr>
              <w:t>,</w:t>
            </w:r>
          </w:p>
          <w:p w14:paraId="7A954C49" w14:textId="77777777" w:rsidR="00A25486" w:rsidRPr="008A2EAA" w:rsidRDefault="00A25486" w:rsidP="00B47B37">
            <w:pPr>
              <w:tabs>
                <w:tab w:val="left" w:pos="720"/>
              </w:tabs>
              <w:spacing w:line="220" w:lineRule="exact"/>
              <w:ind w:right="524"/>
              <w:rPr>
                <w:rFonts w:ascii="Arial" w:hAnsi="Arial" w:cs="Arial"/>
                <w:i/>
                <w:sz w:val="8"/>
                <w:szCs w:val="8"/>
              </w:rPr>
            </w:pPr>
          </w:p>
          <w:p w14:paraId="4C9C9231" w14:textId="77777777" w:rsidR="00A25486" w:rsidRPr="00B12ECA" w:rsidRDefault="00A25486" w:rsidP="00B47B37">
            <w:pPr>
              <w:tabs>
                <w:tab w:val="left" w:pos="720"/>
              </w:tabs>
              <w:spacing w:line="220" w:lineRule="exact"/>
              <w:ind w:right="524"/>
              <w:rPr>
                <w:rFonts w:ascii="Arial" w:hAnsi="Arial" w:cs="Arial"/>
              </w:rPr>
            </w:pPr>
            <w:r>
              <w:rPr>
                <w:rFonts w:ascii="Arial" w:hAnsi="Arial" w:cs="Arial"/>
                <w:i/>
              </w:rPr>
              <w:t xml:space="preserve">    </w:t>
            </w:r>
            <w:r w:rsidRPr="00B12ECA">
              <w:rPr>
                <w:rFonts w:ascii="Arial" w:hAnsi="Arial" w:cs="Arial"/>
              </w:rPr>
              <w:t xml:space="preserve">    vs. </w:t>
            </w:r>
          </w:p>
          <w:p w14:paraId="2DA13D71" w14:textId="77777777" w:rsidR="00A25486" w:rsidRPr="008A2EAA" w:rsidRDefault="00A25486" w:rsidP="00B47B37">
            <w:pPr>
              <w:tabs>
                <w:tab w:val="left" w:pos="720"/>
              </w:tabs>
              <w:spacing w:line="220" w:lineRule="exact"/>
              <w:ind w:right="524"/>
              <w:rPr>
                <w:rFonts w:ascii="Arial" w:hAnsi="Arial" w:cs="Arial"/>
                <w:i/>
                <w:sz w:val="8"/>
                <w:szCs w:val="8"/>
              </w:rPr>
            </w:pPr>
          </w:p>
          <w:p w14:paraId="1DBED126" w14:textId="77777777" w:rsidR="00A25486" w:rsidRDefault="00A25486" w:rsidP="00B47B37">
            <w:pPr>
              <w:tabs>
                <w:tab w:val="left" w:pos="720"/>
              </w:tabs>
              <w:spacing w:line="220" w:lineRule="exact"/>
              <w:ind w:right="518"/>
              <w:rPr>
                <w:rFonts w:ascii="Arial" w:hAnsi="Arial" w:cs="Arial"/>
                <w:i/>
              </w:rPr>
            </w:pPr>
            <w:r>
              <w:rPr>
                <w:rFonts w:ascii="Arial" w:hAnsi="Arial" w:cs="Arial"/>
                <w:b/>
              </w:rPr>
              <w:t xml:space="preserve">ESTATE OF </w:t>
            </w:r>
            <w:r w:rsidRPr="00AF58F0">
              <w:rPr>
                <w:rFonts w:ascii="Arial" w:hAnsi="Arial" w:cs="Arial"/>
                <w:b/>
              </w:rPr>
              <w:t>MOHAMMAD A. HAMED</w:t>
            </w:r>
            <w:r>
              <w:rPr>
                <w:rFonts w:ascii="Arial" w:hAnsi="Arial" w:cs="Arial"/>
                <w:b/>
              </w:rPr>
              <w:t>,</w:t>
            </w:r>
            <w:r w:rsidRPr="00AF58F0">
              <w:rPr>
                <w:rFonts w:ascii="Arial" w:hAnsi="Arial" w:cs="Arial"/>
                <w:b/>
              </w:rPr>
              <w:t xml:space="preserve"> </w:t>
            </w:r>
          </w:p>
          <w:p w14:paraId="3C6A6204" w14:textId="77777777" w:rsidR="00A25486" w:rsidRDefault="00A25486" w:rsidP="00B47B37">
            <w:pPr>
              <w:tabs>
                <w:tab w:val="left" w:pos="720"/>
              </w:tabs>
              <w:spacing w:line="220" w:lineRule="exact"/>
              <w:ind w:right="518"/>
              <w:rPr>
                <w:rFonts w:ascii="Arial" w:hAnsi="Arial" w:cs="Arial"/>
                <w:i/>
              </w:rPr>
            </w:pPr>
          </w:p>
          <w:p w14:paraId="583F0AAB" w14:textId="77777777" w:rsidR="00A25486" w:rsidRPr="004F57F3" w:rsidRDefault="00A25486" w:rsidP="00B47B37">
            <w:pPr>
              <w:tabs>
                <w:tab w:val="left" w:pos="720"/>
              </w:tabs>
              <w:spacing w:line="220" w:lineRule="exact"/>
              <w:ind w:right="524"/>
              <w:rPr>
                <w:rFonts w:ascii="Arial" w:hAnsi="Arial" w:cs="Arial"/>
              </w:rPr>
            </w:pPr>
            <w:r>
              <w:rPr>
                <w:rFonts w:ascii="Arial" w:hAnsi="Arial" w:cs="Arial"/>
                <w:i/>
              </w:rPr>
              <w:t xml:space="preserve">        Defendants.</w:t>
            </w:r>
          </w:p>
        </w:tc>
        <w:tc>
          <w:tcPr>
            <w:tcW w:w="4126" w:type="dxa"/>
            <w:tcBorders>
              <w:left w:val="single" w:sz="4" w:space="0" w:color="auto"/>
            </w:tcBorders>
          </w:tcPr>
          <w:p w14:paraId="05892C73" w14:textId="77777777" w:rsidR="00A25486" w:rsidRDefault="00A25486" w:rsidP="00B47B37">
            <w:pPr>
              <w:spacing w:line="220" w:lineRule="exact"/>
              <w:rPr>
                <w:rFonts w:ascii="Arial" w:hAnsi="Arial" w:cs="Arial"/>
                <w:b/>
              </w:rPr>
            </w:pPr>
          </w:p>
          <w:p w14:paraId="7A7AE196" w14:textId="77777777" w:rsidR="00A25486" w:rsidRDefault="00A25486" w:rsidP="00B47B37">
            <w:pPr>
              <w:spacing w:line="220" w:lineRule="exact"/>
              <w:rPr>
                <w:rFonts w:ascii="Arial" w:hAnsi="Arial" w:cs="Arial"/>
              </w:rPr>
            </w:pPr>
          </w:p>
          <w:p w14:paraId="572D1EF8" w14:textId="77777777" w:rsidR="00A25486" w:rsidRPr="00282247" w:rsidRDefault="00A25486" w:rsidP="00B47B37">
            <w:pPr>
              <w:spacing w:line="220" w:lineRule="exact"/>
              <w:rPr>
                <w:rFonts w:ascii="Arial" w:hAnsi="Arial" w:cs="Arial"/>
              </w:rPr>
            </w:pPr>
            <w:r w:rsidRPr="00282247">
              <w:rPr>
                <w:rFonts w:ascii="Arial" w:hAnsi="Arial" w:cs="Arial"/>
              </w:rPr>
              <w:t>Consolidated with</w:t>
            </w:r>
          </w:p>
          <w:p w14:paraId="7909E416" w14:textId="77777777" w:rsidR="00A25486" w:rsidRDefault="00A25486" w:rsidP="00B47B37">
            <w:pPr>
              <w:spacing w:line="220" w:lineRule="exact"/>
              <w:rPr>
                <w:rFonts w:ascii="Arial" w:hAnsi="Arial" w:cs="Arial"/>
                <w:b/>
              </w:rPr>
            </w:pPr>
          </w:p>
          <w:p w14:paraId="0B801196" w14:textId="77777777" w:rsidR="00A25486" w:rsidRDefault="00A25486" w:rsidP="00B47B37">
            <w:pPr>
              <w:spacing w:line="220" w:lineRule="exact"/>
              <w:rPr>
                <w:rFonts w:ascii="Arial" w:hAnsi="Arial" w:cs="Arial"/>
                <w:b/>
              </w:rPr>
            </w:pPr>
            <w:r>
              <w:rPr>
                <w:rFonts w:ascii="Arial" w:hAnsi="Arial" w:cs="Arial"/>
                <w:b/>
              </w:rPr>
              <w:t xml:space="preserve">Case No.: </w:t>
            </w:r>
            <w:r w:rsidRPr="00AF58F0">
              <w:rPr>
                <w:rFonts w:ascii="Arial" w:hAnsi="Arial" w:cs="Arial"/>
                <w:b/>
                <w:bCs/>
              </w:rPr>
              <w:t>ST-17-CV-384</w:t>
            </w:r>
          </w:p>
          <w:p w14:paraId="4B2F690E" w14:textId="77777777" w:rsidR="00A25486" w:rsidRPr="00CA2792" w:rsidRDefault="00A25486" w:rsidP="00B47B37">
            <w:pPr>
              <w:spacing w:line="220" w:lineRule="exact"/>
              <w:rPr>
                <w:rFonts w:ascii="Arial" w:hAnsi="Arial" w:cs="Arial"/>
                <w:b/>
              </w:rPr>
            </w:pPr>
          </w:p>
        </w:tc>
      </w:tr>
      <w:tr w:rsidR="00A25486" w:rsidRPr="004F57F3" w14:paraId="0932A52C" w14:textId="77777777" w:rsidTr="00A25486">
        <w:trPr>
          <w:trHeight w:val="1801"/>
        </w:trPr>
        <w:tc>
          <w:tcPr>
            <w:tcW w:w="5368" w:type="dxa"/>
            <w:tcBorders>
              <w:right w:val="single" w:sz="4" w:space="0" w:color="auto"/>
            </w:tcBorders>
          </w:tcPr>
          <w:p w14:paraId="06E9D50B" w14:textId="77777777" w:rsidR="00A25486" w:rsidRPr="00D92581" w:rsidRDefault="00A25486" w:rsidP="00B47B37">
            <w:pPr>
              <w:spacing w:line="220" w:lineRule="exact"/>
              <w:ind w:left="720"/>
              <w:rPr>
                <w:rFonts w:ascii="Arial" w:hAnsi="Arial" w:cs="Arial"/>
              </w:rPr>
            </w:pPr>
            <w:r>
              <w:rPr>
                <w:rFonts w:ascii="Arial" w:hAnsi="Arial" w:cs="Arial"/>
                <w:i/>
                <w:noProof/>
              </w:rPr>
              <mc:AlternateContent>
                <mc:Choice Requires="wps">
                  <w:drawing>
                    <wp:anchor distT="0" distB="0" distL="114300" distR="114300" simplePos="0" relativeHeight="251661312" behindDoc="0" locked="0" layoutInCell="1" allowOverlap="1" wp14:anchorId="4658D4A5" wp14:editId="58E296E1">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CFD0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i/>
              </w:rPr>
              <w:softHyphen/>
            </w:r>
            <w:r>
              <w:rPr>
                <w:rFonts w:ascii="Arial" w:hAnsi="Arial" w:cs="Arial"/>
              </w:rPr>
              <w:softHyphen/>
            </w:r>
            <w:r>
              <w:rPr>
                <w:rFonts w:ascii="Arial" w:hAnsi="Arial" w:cs="Arial"/>
              </w:rPr>
              <w:softHyphen/>
            </w:r>
          </w:p>
          <w:p w14:paraId="539EA8A3" w14:textId="77777777" w:rsidR="00A25486" w:rsidRDefault="00A25486" w:rsidP="00B47B37">
            <w:pPr>
              <w:spacing w:line="220" w:lineRule="exact"/>
              <w:ind w:left="720"/>
              <w:rPr>
                <w:rFonts w:ascii="Arial" w:hAnsi="Arial" w:cs="Arial"/>
              </w:rPr>
            </w:pPr>
          </w:p>
          <w:p w14:paraId="08B8646A" w14:textId="77777777" w:rsidR="00A25486" w:rsidRDefault="00A25486" w:rsidP="00B47B37">
            <w:pPr>
              <w:tabs>
                <w:tab w:val="left" w:pos="720"/>
              </w:tabs>
              <w:spacing w:line="220" w:lineRule="exact"/>
              <w:ind w:right="524"/>
              <w:rPr>
                <w:rFonts w:ascii="Arial" w:hAnsi="Arial" w:cs="Arial"/>
              </w:rPr>
            </w:pPr>
            <w:r>
              <w:rPr>
                <w:rFonts w:ascii="Arial" w:hAnsi="Arial" w:cs="Arial"/>
                <w:b/>
                <w:spacing w:val="6"/>
              </w:rPr>
              <w:t>KAC357 Inc.</w:t>
            </w:r>
            <w:r w:rsidRPr="004F57F3">
              <w:rPr>
                <w:rFonts w:ascii="Arial" w:hAnsi="Arial" w:cs="Arial"/>
                <w:caps/>
              </w:rPr>
              <w:t>,</w:t>
            </w:r>
            <w:r>
              <w:rPr>
                <w:rFonts w:ascii="Arial" w:hAnsi="Arial" w:cs="Arial"/>
              </w:rPr>
              <w:t xml:space="preserve"> </w:t>
            </w:r>
            <w:r w:rsidRPr="00AF58F0">
              <w:rPr>
                <w:rFonts w:ascii="Arial" w:hAnsi="Arial" w:cs="Arial"/>
                <w:i/>
              </w:rPr>
              <w:t>Plaintiff</w:t>
            </w:r>
            <w:r>
              <w:rPr>
                <w:rFonts w:ascii="Arial" w:hAnsi="Arial" w:cs="Arial"/>
              </w:rPr>
              <w:t>,</w:t>
            </w:r>
          </w:p>
          <w:p w14:paraId="24F0D8E7" w14:textId="77777777" w:rsidR="00A25486" w:rsidRPr="008A2EAA" w:rsidRDefault="00A25486" w:rsidP="00B47B37">
            <w:pPr>
              <w:tabs>
                <w:tab w:val="left" w:pos="720"/>
              </w:tabs>
              <w:spacing w:line="220" w:lineRule="exact"/>
              <w:ind w:right="524"/>
              <w:rPr>
                <w:rFonts w:ascii="Arial" w:hAnsi="Arial" w:cs="Arial"/>
                <w:i/>
                <w:sz w:val="8"/>
                <w:szCs w:val="8"/>
              </w:rPr>
            </w:pPr>
          </w:p>
          <w:p w14:paraId="46BDD7B4" w14:textId="77777777" w:rsidR="00A25486" w:rsidRPr="00B12ECA" w:rsidRDefault="00A25486" w:rsidP="00B47B37">
            <w:pPr>
              <w:tabs>
                <w:tab w:val="left" w:pos="720"/>
              </w:tabs>
              <w:spacing w:line="220" w:lineRule="exact"/>
              <w:ind w:right="524"/>
              <w:rPr>
                <w:rFonts w:ascii="Arial" w:hAnsi="Arial" w:cs="Arial"/>
              </w:rPr>
            </w:pPr>
            <w:r>
              <w:rPr>
                <w:rFonts w:ascii="Arial" w:hAnsi="Arial" w:cs="Arial"/>
                <w:i/>
              </w:rPr>
              <w:t xml:space="preserve">    </w:t>
            </w:r>
            <w:r w:rsidRPr="00B12ECA">
              <w:rPr>
                <w:rFonts w:ascii="Arial" w:hAnsi="Arial" w:cs="Arial"/>
              </w:rPr>
              <w:t xml:space="preserve">    vs. </w:t>
            </w:r>
          </w:p>
          <w:p w14:paraId="7C0900A9" w14:textId="77777777" w:rsidR="00A25486" w:rsidRPr="008A2EAA" w:rsidRDefault="00A25486" w:rsidP="00B47B37">
            <w:pPr>
              <w:tabs>
                <w:tab w:val="left" w:pos="720"/>
              </w:tabs>
              <w:spacing w:line="220" w:lineRule="exact"/>
              <w:ind w:right="524"/>
              <w:rPr>
                <w:rFonts w:ascii="Arial" w:hAnsi="Arial" w:cs="Arial"/>
                <w:i/>
                <w:sz w:val="8"/>
                <w:szCs w:val="8"/>
              </w:rPr>
            </w:pPr>
          </w:p>
          <w:p w14:paraId="006B3F4C" w14:textId="77777777" w:rsidR="00A25486" w:rsidRDefault="00A25486" w:rsidP="00B47B37">
            <w:pPr>
              <w:tabs>
                <w:tab w:val="left" w:pos="720"/>
              </w:tabs>
              <w:spacing w:line="220" w:lineRule="exact"/>
              <w:ind w:right="518"/>
              <w:rPr>
                <w:rFonts w:ascii="Arial" w:hAnsi="Arial" w:cs="Arial"/>
                <w:i/>
              </w:rPr>
            </w:pPr>
            <w:r>
              <w:rPr>
                <w:rFonts w:ascii="Arial" w:hAnsi="Arial" w:cs="Arial"/>
                <w:b/>
              </w:rPr>
              <w:t>HAMED/YUSUF PARTNERSHIP,</w:t>
            </w:r>
          </w:p>
          <w:p w14:paraId="2D67E94D" w14:textId="77777777" w:rsidR="00A25486" w:rsidRPr="005C7940" w:rsidRDefault="00A25486" w:rsidP="00B47B37">
            <w:pPr>
              <w:tabs>
                <w:tab w:val="left" w:pos="720"/>
              </w:tabs>
              <w:spacing w:line="220" w:lineRule="exact"/>
              <w:ind w:right="518"/>
              <w:rPr>
                <w:rFonts w:ascii="Arial" w:hAnsi="Arial" w:cs="Arial"/>
                <w:i/>
                <w:sz w:val="8"/>
                <w:szCs w:val="8"/>
              </w:rPr>
            </w:pPr>
          </w:p>
          <w:p w14:paraId="066E0CA3" w14:textId="77777777" w:rsidR="00A25486" w:rsidRPr="004F57F3" w:rsidRDefault="00A25486" w:rsidP="00B47B37">
            <w:pPr>
              <w:tabs>
                <w:tab w:val="left" w:pos="720"/>
              </w:tabs>
              <w:spacing w:line="220" w:lineRule="exact"/>
              <w:ind w:right="524"/>
              <w:rPr>
                <w:rFonts w:ascii="Arial" w:hAnsi="Arial" w:cs="Arial"/>
              </w:rPr>
            </w:pPr>
            <w:r>
              <w:rPr>
                <w:rFonts w:ascii="Arial" w:hAnsi="Arial" w:cs="Arial"/>
                <w:i/>
              </w:rPr>
              <w:t xml:space="preserve">        Defendant.</w:t>
            </w:r>
          </w:p>
        </w:tc>
        <w:tc>
          <w:tcPr>
            <w:tcW w:w="4126" w:type="dxa"/>
            <w:tcBorders>
              <w:left w:val="single" w:sz="4" w:space="0" w:color="auto"/>
            </w:tcBorders>
          </w:tcPr>
          <w:p w14:paraId="46E78A24" w14:textId="77777777" w:rsidR="00A25486" w:rsidRDefault="00A25486" w:rsidP="00B47B37">
            <w:pPr>
              <w:spacing w:line="220" w:lineRule="exact"/>
              <w:rPr>
                <w:rFonts w:ascii="Arial" w:hAnsi="Arial" w:cs="Arial"/>
                <w:b/>
              </w:rPr>
            </w:pPr>
          </w:p>
          <w:p w14:paraId="3BAB5CC2" w14:textId="77777777" w:rsidR="00A25486" w:rsidRDefault="00A25486" w:rsidP="00B47B37">
            <w:pPr>
              <w:spacing w:line="220" w:lineRule="exact"/>
              <w:rPr>
                <w:rFonts w:ascii="Arial" w:hAnsi="Arial" w:cs="Arial"/>
              </w:rPr>
            </w:pPr>
          </w:p>
          <w:p w14:paraId="3812602F" w14:textId="77777777" w:rsidR="00A25486" w:rsidRPr="00282247" w:rsidRDefault="00A25486" w:rsidP="00B47B37">
            <w:pPr>
              <w:spacing w:line="220" w:lineRule="exact"/>
              <w:rPr>
                <w:rFonts w:ascii="Arial" w:hAnsi="Arial" w:cs="Arial"/>
              </w:rPr>
            </w:pPr>
            <w:r w:rsidRPr="00282247">
              <w:rPr>
                <w:rFonts w:ascii="Arial" w:hAnsi="Arial" w:cs="Arial"/>
              </w:rPr>
              <w:t>Consolidated with</w:t>
            </w:r>
          </w:p>
          <w:p w14:paraId="3400BF85" w14:textId="77777777" w:rsidR="00A25486" w:rsidRDefault="00A25486" w:rsidP="00B47B37">
            <w:pPr>
              <w:spacing w:line="220" w:lineRule="exact"/>
              <w:rPr>
                <w:rFonts w:ascii="Arial" w:hAnsi="Arial" w:cs="Arial"/>
                <w:b/>
              </w:rPr>
            </w:pPr>
          </w:p>
          <w:p w14:paraId="1BC01FFE" w14:textId="77777777" w:rsidR="00A25486" w:rsidRDefault="00A25486" w:rsidP="00B47B37">
            <w:pPr>
              <w:spacing w:line="220" w:lineRule="exact"/>
              <w:rPr>
                <w:rFonts w:ascii="Arial" w:hAnsi="Arial" w:cs="Arial"/>
                <w:b/>
              </w:rPr>
            </w:pPr>
          </w:p>
          <w:p w14:paraId="21AF9016" w14:textId="77777777" w:rsidR="00A25486" w:rsidRDefault="00A25486" w:rsidP="00A25486">
            <w:pPr>
              <w:spacing w:line="220" w:lineRule="exact"/>
              <w:rPr>
                <w:rFonts w:ascii="Arial" w:hAnsi="Arial" w:cs="Arial"/>
                <w:b/>
                <w:bCs/>
              </w:rPr>
            </w:pPr>
            <w:r>
              <w:rPr>
                <w:rFonts w:ascii="Arial" w:hAnsi="Arial" w:cs="Arial"/>
                <w:b/>
              </w:rPr>
              <w:t xml:space="preserve">Case No.: </w:t>
            </w:r>
            <w:r w:rsidRPr="00AF58F0">
              <w:rPr>
                <w:rFonts w:ascii="Arial" w:hAnsi="Arial" w:cs="Arial"/>
                <w:b/>
                <w:bCs/>
              </w:rPr>
              <w:t>ST-</w:t>
            </w:r>
            <w:r>
              <w:rPr>
                <w:rFonts w:ascii="Arial" w:hAnsi="Arial" w:cs="Arial"/>
                <w:b/>
                <w:bCs/>
              </w:rPr>
              <w:t>18</w:t>
            </w:r>
            <w:r w:rsidRPr="00AF58F0">
              <w:rPr>
                <w:rFonts w:ascii="Arial" w:hAnsi="Arial" w:cs="Arial"/>
                <w:b/>
                <w:bCs/>
              </w:rPr>
              <w:t>-CV-</w:t>
            </w:r>
            <w:r>
              <w:rPr>
                <w:rFonts w:ascii="Arial" w:hAnsi="Arial" w:cs="Arial"/>
                <w:b/>
                <w:bCs/>
              </w:rPr>
              <w:t>219</w:t>
            </w:r>
          </w:p>
          <w:p w14:paraId="4B6F5592" w14:textId="7F4F5652" w:rsidR="00EC7E4C" w:rsidRPr="00CA2792" w:rsidRDefault="00EC7E4C" w:rsidP="00A25486">
            <w:pPr>
              <w:spacing w:line="220" w:lineRule="exact"/>
              <w:rPr>
                <w:rFonts w:ascii="Arial" w:hAnsi="Arial" w:cs="Arial"/>
                <w:b/>
              </w:rPr>
            </w:pPr>
          </w:p>
        </w:tc>
      </w:tr>
      <w:tr w:rsidR="00A25486" w:rsidRPr="004F57F3" w14:paraId="2D5BE837" w14:textId="77777777" w:rsidTr="00A25486">
        <w:trPr>
          <w:trHeight w:val="72"/>
        </w:trPr>
        <w:tc>
          <w:tcPr>
            <w:tcW w:w="5368" w:type="dxa"/>
            <w:tcBorders>
              <w:bottom w:val="single" w:sz="4" w:space="0" w:color="auto"/>
              <w:right w:val="single" w:sz="4" w:space="0" w:color="auto"/>
            </w:tcBorders>
          </w:tcPr>
          <w:p w14:paraId="76F7485F" w14:textId="77777777" w:rsidR="00A25486" w:rsidRPr="005C7940" w:rsidRDefault="00A25486" w:rsidP="00B47B37">
            <w:pPr>
              <w:spacing w:line="220" w:lineRule="exact"/>
              <w:rPr>
                <w:rFonts w:ascii="Arial" w:hAnsi="Arial" w:cs="Arial"/>
                <w:sz w:val="8"/>
                <w:szCs w:val="8"/>
              </w:rPr>
            </w:pPr>
          </w:p>
        </w:tc>
        <w:tc>
          <w:tcPr>
            <w:tcW w:w="4126" w:type="dxa"/>
            <w:tcBorders>
              <w:left w:val="single" w:sz="4" w:space="0" w:color="auto"/>
            </w:tcBorders>
          </w:tcPr>
          <w:p w14:paraId="07A057FB" w14:textId="77777777" w:rsidR="00A25486" w:rsidRPr="004F57F3" w:rsidRDefault="00A25486" w:rsidP="00B47B37">
            <w:pPr>
              <w:spacing w:line="220" w:lineRule="exact"/>
              <w:rPr>
                <w:rFonts w:ascii="Arial" w:hAnsi="Arial" w:cs="Arial"/>
              </w:rPr>
            </w:pPr>
          </w:p>
        </w:tc>
      </w:tr>
    </w:tbl>
    <w:p w14:paraId="5246655D" w14:textId="77777777" w:rsidR="00EC7E4C" w:rsidRDefault="00EC7E4C" w:rsidP="00A25486">
      <w:pPr>
        <w:jc w:val="center"/>
        <w:outlineLvl w:val="0"/>
        <w:rPr>
          <w:rFonts w:ascii="Arial" w:hAnsi="Arial" w:cs="Arial"/>
          <w:b/>
          <w:bCs/>
        </w:rPr>
      </w:pPr>
    </w:p>
    <w:p w14:paraId="6E0B00EC" w14:textId="77777777" w:rsidR="003079F4" w:rsidRDefault="00A25486" w:rsidP="00A25486">
      <w:pPr>
        <w:jc w:val="center"/>
        <w:outlineLvl w:val="0"/>
        <w:rPr>
          <w:rFonts w:ascii="Arial" w:hAnsi="Arial" w:cs="Arial"/>
          <w:b/>
          <w:bCs/>
        </w:rPr>
      </w:pPr>
      <w:r>
        <w:rPr>
          <w:rFonts w:ascii="Arial" w:hAnsi="Arial" w:cs="Arial"/>
          <w:b/>
          <w:bCs/>
        </w:rPr>
        <w:t>HAMED’S RESPONSE TO SUPPLEMENTAL BRIEFING</w:t>
      </w:r>
    </w:p>
    <w:p w14:paraId="56A043B1" w14:textId="77777777" w:rsidR="003079F4" w:rsidRDefault="00A25486" w:rsidP="00A25486">
      <w:pPr>
        <w:jc w:val="center"/>
        <w:outlineLvl w:val="0"/>
        <w:rPr>
          <w:rFonts w:ascii="Arial" w:hAnsi="Arial" w:cs="Arial"/>
          <w:b/>
          <w:bCs/>
        </w:rPr>
      </w:pPr>
      <w:r>
        <w:rPr>
          <w:rFonts w:ascii="Arial" w:hAnsi="Arial" w:cs="Arial"/>
          <w:b/>
          <w:bCs/>
        </w:rPr>
        <w:t>AS TO</w:t>
      </w:r>
      <w:r w:rsidR="003079F4">
        <w:rPr>
          <w:rFonts w:ascii="Arial" w:hAnsi="Arial" w:cs="Arial"/>
          <w:b/>
          <w:bCs/>
        </w:rPr>
        <w:t xml:space="preserve">: </w:t>
      </w:r>
      <w:r>
        <w:rPr>
          <w:rFonts w:ascii="Arial" w:hAnsi="Arial" w:cs="Arial"/>
          <w:b/>
          <w:bCs/>
        </w:rPr>
        <w:t xml:space="preserve">(1) RESTITUTION ELEMENTS AND </w:t>
      </w:r>
    </w:p>
    <w:p w14:paraId="7F0B6788" w14:textId="23A96937" w:rsidR="00A25486" w:rsidRDefault="00A25486" w:rsidP="00A25486">
      <w:pPr>
        <w:jc w:val="center"/>
        <w:outlineLvl w:val="0"/>
        <w:rPr>
          <w:rFonts w:ascii="Arial" w:hAnsi="Arial" w:cs="Arial"/>
          <w:b/>
          <w:bCs/>
        </w:rPr>
      </w:pPr>
      <w:r>
        <w:rPr>
          <w:rFonts w:ascii="Arial" w:hAnsi="Arial" w:cs="Arial"/>
          <w:b/>
          <w:bCs/>
        </w:rPr>
        <w:t>(2) SOL</w:t>
      </w:r>
      <w:r w:rsidR="003079F4">
        <w:rPr>
          <w:rFonts w:ascii="Arial" w:hAnsi="Arial" w:cs="Arial"/>
          <w:b/>
          <w:bCs/>
        </w:rPr>
        <w:t xml:space="preserve"> </w:t>
      </w:r>
      <w:r>
        <w:rPr>
          <w:rFonts w:ascii="Arial" w:hAnsi="Arial" w:cs="Arial"/>
          <w:b/>
          <w:bCs/>
        </w:rPr>
        <w:t>REGARDING YUSUF CLAIM Y-8 – WATER SALES AT EAST STORE</w:t>
      </w:r>
    </w:p>
    <w:p w14:paraId="76F6929A" w14:textId="77777777" w:rsidR="00A25486" w:rsidRDefault="00A25486" w:rsidP="00A25486">
      <w:pPr>
        <w:jc w:val="center"/>
        <w:outlineLvl w:val="0"/>
        <w:rPr>
          <w:rFonts w:ascii="Arial" w:hAnsi="Arial" w:cs="Arial"/>
          <w:b/>
          <w:bCs/>
        </w:rPr>
      </w:pPr>
    </w:p>
    <w:p w14:paraId="738FD84B" w14:textId="1017B332" w:rsidR="00A25486" w:rsidRPr="00045876" w:rsidRDefault="00A25486" w:rsidP="00A25486">
      <w:pPr>
        <w:spacing w:line="480" w:lineRule="auto"/>
        <w:ind w:firstLine="720"/>
        <w:jc w:val="both"/>
        <w:outlineLvl w:val="0"/>
        <w:rPr>
          <w:rFonts w:ascii="Arial" w:hAnsi="Arial" w:cs="Arial"/>
        </w:rPr>
      </w:pPr>
      <w:r w:rsidRPr="00045876">
        <w:rPr>
          <w:rFonts w:ascii="Arial" w:hAnsi="Arial" w:cs="Arial"/>
        </w:rPr>
        <w:lastRenderedPageBreak/>
        <w:t xml:space="preserve">On October 15, 2020, United filed a response to this Court’s September 3, 2020 Order directing the Parties to address (1) the elements of a claim for Restitution and (2) the triggering event for the SOL for the claims asserted in Yusuf’s Claim Y-8. Several brief follow-up comments are in order, which will hopefully streamline this Court’s analysis of these remaining two issues on the </w:t>
      </w:r>
      <w:r w:rsidR="00535DED">
        <w:rPr>
          <w:rFonts w:ascii="Arial" w:hAnsi="Arial" w:cs="Arial"/>
        </w:rPr>
        <w:t xml:space="preserve">Y-8 </w:t>
      </w:r>
      <w:r w:rsidRPr="00045876">
        <w:rPr>
          <w:rFonts w:ascii="Arial" w:hAnsi="Arial" w:cs="Arial"/>
        </w:rPr>
        <w:t>partial summary judgment motions</w:t>
      </w:r>
      <w:r w:rsidR="00535DED">
        <w:rPr>
          <w:rFonts w:ascii="Arial" w:hAnsi="Arial" w:cs="Arial"/>
        </w:rPr>
        <w:t>.</w:t>
      </w:r>
      <w:r w:rsidRPr="00045876">
        <w:rPr>
          <w:rStyle w:val="FootnoteReference"/>
          <w:rFonts w:ascii="Arial" w:hAnsi="Arial" w:cs="Arial"/>
        </w:rPr>
        <w:footnoteReference w:id="1"/>
      </w:r>
    </w:p>
    <w:p w14:paraId="7069BA3E" w14:textId="77777777" w:rsidR="00A25486" w:rsidRPr="00045876" w:rsidRDefault="00A25486" w:rsidP="00A25486">
      <w:pPr>
        <w:pStyle w:val="ListParagraph"/>
        <w:numPr>
          <w:ilvl w:val="0"/>
          <w:numId w:val="1"/>
        </w:numPr>
        <w:spacing w:after="0" w:line="480" w:lineRule="auto"/>
        <w:jc w:val="both"/>
        <w:outlineLvl w:val="0"/>
        <w:rPr>
          <w:rFonts w:ascii="Arial" w:hAnsi="Arial" w:cs="Arial"/>
          <w:b/>
          <w:bCs/>
          <w:sz w:val="24"/>
          <w:szCs w:val="24"/>
        </w:rPr>
      </w:pPr>
      <w:r w:rsidRPr="00045876">
        <w:rPr>
          <w:rFonts w:ascii="Arial" w:hAnsi="Arial" w:cs="Arial"/>
          <w:b/>
          <w:bCs/>
          <w:sz w:val="24"/>
          <w:szCs w:val="24"/>
        </w:rPr>
        <w:t>Restitution</w:t>
      </w:r>
    </w:p>
    <w:p w14:paraId="231AC640" w14:textId="0BFFF495" w:rsidR="00A25486" w:rsidRPr="00045876" w:rsidRDefault="00A25486" w:rsidP="00A25486">
      <w:pPr>
        <w:spacing w:line="480" w:lineRule="auto"/>
        <w:ind w:firstLine="720"/>
        <w:jc w:val="both"/>
        <w:outlineLvl w:val="0"/>
        <w:rPr>
          <w:rFonts w:ascii="Arial" w:hAnsi="Arial" w:cs="Arial"/>
        </w:rPr>
      </w:pPr>
      <w:r w:rsidRPr="00045876">
        <w:rPr>
          <w:rFonts w:ascii="Arial" w:hAnsi="Arial" w:cs="Arial"/>
        </w:rPr>
        <w:t>In its September 3</w:t>
      </w:r>
      <w:r w:rsidRPr="00045876">
        <w:rPr>
          <w:rFonts w:ascii="Arial" w:hAnsi="Arial" w:cs="Arial"/>
          <w:vertAlign w:val="superscript"/>
        </w:rPr>
        <w:t>rd</w:t>
      </w:r>
      <w:r w:rsidRPr="00045876">
        <w:rPr>
          <w:rFonts w:ascii="Arial" w:hAnsi="Arial" w:cs="Arial"/>
        </w:rPr>
        <w:t xml:space="preserve"> opinion, this Court denied Yusuf’s partial summary judgment motion as to the conversion and unjust enrichment claims, but reserved ruling on</w:t>
      </w:r>
      <w:r w:rsidR="00535DED">
        <w:rPr>
          <w:rFonts w:ascii="Arial" w:hAnsi="Arial" w:cs="Arial"/>
        </w:rPr>
        <w:t xml:space="preserve"> hi</w:t>
      </w:r>
      <w:r w:rsidRPr="00045876">
        <w:rPr>
          <w:rFonts w:ascii="Arial" w:hAnsi="Arial" w:cs="Arial"/>
        </w:rPr>
        <w:t xml:space="preserve">s restitution claim, directing the Parties to submit a </w:t>
      </w:r>
      <w:r w:rsidRPr="00045876">
        <w:rPr>
          <w:rFonts w:ascii="Arial" w:hAnsi="Arial" w:cs="Arial"/>
          <w:i/>
          <w:iCs/>
        </w:rPr>
        <w:t xml:space="preserve">Banks </w:t>
      </w:r>
      <w:r w:rsidRPr="00045876">
        <w:rPr>
          <w:rFonts w:ascii="Arial" w:hAnsi="Arial" w:cs="Arial"/>
        </w:rPr>
        <w:t>analysis on this theory of recovery. On page 28 of the September 3</w:t>
      </w:r>
      <w:r w:rsidRPr="00045876">
        <w:rPr>
          <w:rFonts w:ascii="Arial" w:hAnsi="Arial" w:cs="Arial"/>
          <w:vertAlign w:val="superscript"/>
        </w:rPr>
        <w:t>rd</w:t>
      </w:r>
      <w:r w:rsidRPr="00045876">
        <w:rPr>
          <w:rFonts w:ascii="Arial" w:hAnsi="Arial" w:cs="Arial"/>
        </w:rPr>
        <w:t xml:space="preserve"> Order, it was noted that the elements of unjust enrichment are:</w:t>
      </w:r>
    </w:p>
    <w:p w14:paraId="5534441D" w14:textId="77777777" w:rsidR="00A25486" w:rsidRPr="00045876" w:rsidRDefault="00A25486" w:rsidP="00A25486">
      <w:pPr>
        <w:ind w:left="720"/>
        <w:jc w:val="both"/>
        <w:outlineLvl w:val="0"/>
        <w:rPr>
          <w:rFonts w:ascii="Arial" w:hAnsi="Arial" w:cs="Arial"/>
        </w:rPr>
      </w:pPr>
      <w:r w:rsidRPr="00045876">
        <w:rPr>
          <w:rFonts w:ascii="Arial" w:hAnsi="Arial" w:cs="Arial"/>
        </w:rPr>
        <w:t>In 2014, the U.S. Virgin Islands Supreme Court “reformulated the elements of the unjust enrichment cause of action to require the plaintiff to prove (1) that the defendant was enriched, (2) that such enrichment was at the plaintiff's expense, (3) that the defendant had appreciation or knowledge of the benefit, and (4) that the circumstances were such that in equity or good conscience the defendant should return the money or property to the plaintiff. Walter v. Walter, 60 V.I. 786, 779-780 (V.I. 2014).</w:t>
      </w:r>
    </w:p>
    <w:p w14:paraId="5125F595" w14:textId="77777777" w:rsidR="00A25486" w:rsidRPr="00045876" w:rsidRDefault="00A25486" w:rsidP="00A25486">
      <w:pPr>
        <w:jc w:val="both"/>
        <w:outlineLvl w:val="0"/>
        <w:rPr>
          <w:rFonts w:ascii="Arial" w:hAnsi="Arial" w:cs="Arial"/>
        </w:rPr>
      </w:pPr>
    </w:p>
    <w:p w14:paraId="5B98ED60" w14:textId="77777777" w:rsidR="00A25486" w:rsidRDefault="00A25486" w:rsidP="00A25486">
      <w:pPr>
        <w:spacing w:line="480" w:lineRule="auto"/>
        <w:jc w:val="both"/>
        <w:outlineLvl w:val="0"/>
        <w:rPr>
          <w:rFonts w:ascii="Arial" w:hAnsi="Arial" w:cs="Arial"/>
        </w:rPr>
      </w:pPr>
      <w:r w:rsidRPr="00045876">
        <w:rPr>
          <w:rFonts w:ascii="Arial" w:hAnsi="Arial" w:cs="Arial"/>
        </w:rPr>
        <w:t xml:space="preserve">The Parties were then directed to brief the differences, if any, between the elements of a claim for unjust enrichment and restitution, rejecting Hamed’s assertion that the </w:t>
      </w:r>
      <w:r w:rsidRPr="00045876">
        <w:rPr>
          <w:rFonts w:ascii="Arial" w:hAnsi="Arial" w:cs="Arial"/>
          <w:i/>
          <w:iCs/>
        </w:rPr>
        <w:t xml:space="preserve">Walters </w:t>
      </w:r>
      <w:r w:rsidRPr="00045876">
        <w:rPr>
          <w:rFonts w:ascii="Arial" w:hAnsi="Arial" w:cs="Arial"/>
        </w:rPr>
        <w:t>decision had resolved this distinction.</w:t>
      </w:r>
      <w:r>
        <w:rPr>
          <w:rFonts w:ascii="Arial" w:hAnsi="Arial" w:cs="Arial"/>
        </w:rPr>
        <w:t xml:space="preserve"> </w:t>
      </w:r>
    </w:p>
    <w:p w14:paraId="3B21460E" w14:textId="065E3CC8" w:rsidR="00A25486" w:rsidRPr="00045876" w:rsidRDefault="00A25486" w:rsidP="00A25486">
      <w:pPr>
        <w:spacing w:line="480" w:lineRule="auto"/>
        <w:ind w:firstLine="720"/>
        <w:jc w:val="both"/>
        <w:outlineLvl w:val="0"/>
        <w:rPr>
          <w:rFonts w:ascii="Arial" w:hAnsi="Arial" w:cs="Arial"/>
        </w:rPr>
      </w:pPr>
      <w:r w:rsidRPr="00045876">
        <w:rPr>
          <w:rFonts w:ascii="Arial" w:hAnsi="Arial" w:cs="Arial"/>
        </w:rPr>
        <w:t>On pages 8-9 of his October 15</w:t>
      </w:r>
      <w:r w:rsidRPr="00045876">
        <w:rPr>
          <w:rFonts w:ascii="Arial" w:hAnsi="Arial" w:cs="Arial"/>
          <w:vertAlign w:val="superscript"/>
        </w:rPr>
        <w:t>th</w:t>
      </w:r>
      <w:r w:rsidRPr="00045876">
        <w:rPr>
          <w:rFonts w:ascii="Arial" w:hAnsi="Arial" w:cs="Arial"/>
        </w:rPr>
        <w:t xml:space="preserve"> filing, Yusuf did a </w:t>
      </w:r>
      <w:r w:rsidRPr="00045876">
        <w:rPr>
          <w:rFonts w:ascii="Arial" w:hAnsi="Arial" w:cs="Arial"/>
          <w:i/>
          <w:iCs/>
        </w:rPr>
        <w:t xml:space="preserve">Banks </w:t>
      </w:r>
      <w:r w:rsidRPr="00045876">
        <w:rPr>
          <w:rFonts w:ascii="Arial" w:hAnsi="Arial" w:cs="Arial"/>
        </w:rPr>
        <w:t>analysis of what constitutes the difference between these two theories of recovery, concluding in part</w:t>
      </w:r>
      <w:r w:rsidR="00535DED">
        <w:rPr>
          <w:rFonts w:ascii="Arial" w:hAnsi="Arial" w:cs="Arial"/>
        </w:rPr>
        <w:t>:</w:t>
      </w:r>
      <w:r w:rsidRPr="00045876">
        <w:rPr>
          <w:rFonts w:ascii="Arial" w:hAnsi="Arial" w:cs="Arial"/>
        </w:rPr>
        <w:t xml:space="preserve"> </w:t>
      </w:r>
    </w:p>
    <w:p w14:paraId="068954A4" w14:textId="77777777" w:rsidR="00A25486" w:rsidRPr="00045876" w:rsidRDefault="00A25486" w:rsidP="00A25486">
      <w:pPr>
        <w:ind w:left="720"/>
        <w:jc w:val="both"/>
        <w:rPr>
          <w:rFonts w:ascii="Arial" w:hAnsi="Arial" w:cs="Arial"/>
        </w:rPr>
      </w:pPr>
      <w:r w:rsidRPr="00045876">
        <w:rPr>
          <w:rFonts w:ascii="Arial" w:hAnsi="Arial" w:cs="Arial"/>
        </w:rPr>
        <w:lastRenderedPageBreak/>
        <w:t xml:space="preserve">Under the Delaware Supreme Court’s formulation of the elements of restitution, it appears that the “knowledge of receipt of benefit” element in the Virgin Island Supreme Court’s delineation of unjust enrichment would be left out of the cause of action for restitution, while in all other respects the two claims would be identical. United believes that this is the soundest rule for the Virgin </w:t>
      </w:r>
      <w:proofErr w:type="gramStart"/>
      <w:r w:rsidRPr="00045876">
        <w:rPr>
          <w:rFonts w:ascii="Arial" w:hAnsi="Arial" w:cs="Arial"/>
        </w:rPr>
        <w:t>Islands, because</w:t>
      </w:r>
      <w:proofErr w:type="gramEnd"/>
      <w:r w:rsidRPr="00045876">
        <w:rPr>
          <w:rFonts w:ascii="Arial" w:hAnsi="Arial" w:cs="Arial"/>
        </w:rPr>
        <w:t xml:space="preserve"> the goal of restitution is not to punish a wrongdoer, but rather to make a party whole who has been deprived of his or her property.</w:t>
      </w:r>
    </w:p>
    <w:p w14:paraId="5D80CAFA" w14:textId="77777777" w:rsidR="00A25486" w:rsidRPr="00045876" w:rsidRDefault="00A25486" w:rsidP="00A25486">
      <w:pPr>
        <w:ind w:left="720"/>
        <w:jc w:val="both"/>
        <w:rPr>
          <w:rFonts w:ascii="Arial" w:hAnsi="Arial" w:cs="Arial"/>
        </w:rPr>
      </w:pPr>
    </w:p>
    <w:p w14:paraId="30F7C9E3" w14:textId="76AA0BD6" w:rsidR="00A25486" w:rsidRPr="00045876" w:rsidRDefault="00A25486" w:rsidP="00A25486">
      <w:pPr>
        <w:spacing w:line="480" w:lineRule="auto"/>
        <w:jc w:val="both"/>
        <w:outlineLvl w:val="0"/>
        <w:rPr>
          <w:rFonts w:ascii="Arial" w:hAnsi="Arial" w:cs="Arial"/>
        </w:rPr>
      </w:pPr>
      <w:r w:rsidRPr="00045876">
        <w:rPr>
          <w:rFonts w:ascii="Arial" w:hAnsi="Arial" w:cs="Arial"/>
        </w:rPr>
        <w:t>While thorough and well-reasoned, should Yusuf’s analysis be adopted, it would not comply with th</w:t>
      </w:r>
      <w:r w:rsidR="003079F4">
        <w:rPr>
          <w:rFonts w:ascii="Arial" w:hAnsi="Arial" w:cs="Arial"/>
        </w:rPr>
        <w:t xml:space="preserve">e </w:t>
      </w:r>
      <w:r w:rsidRPr="00045876">
        <w:rPr>
          <w:rFonts w:ascii="Arial" w:hAnsi="Arial" w:cs="Arial"/>
        </w:rPr>
        <w:t xml:space="preserve">admonition in </w:t>
      </w:r>
      <w:r w:rsidRPr="00045876">
        <w:rPr>
          <w:rFonts w:ascii="Arial" w:hAnsi="Arial" w:cs="Arial"/>
          <w:i/>
          <w:iCs/>
        </w:rPr>
        <w:t xml:space="preserve">Walters v. Walters, </w:t>
      </w:r>
      <w:r w:rsidRPr="00045876">
        <w:rPr>
          <w:rFonts w:ascii="Arial" w:hAnsi="Arial" w:cs="Arial"/>
        </w:rPr>
        <w:t xml:space="preserve">60 VI 768, 778-79 (V.I. 2014), that unless the “knowledge of receipt of benefit” element is added, the goal of deterrence in establishing the elements of a claim would be missing. </w:t>
      </w:r>
    </w:p>
    <w:p w14:paraId="2D08E6FA" w14:textId="1691FEA6" w:rsidR="00A25486" w:rsidRPr="00045876" w:rsidRDefault="00A25486" w:rsidP="00A25486">
      <w:pPr>
        <w:spacing w:line="480" w:lineRule="auto"/>
        <w:jc w:val="both"/>
        <w:outlineLvl w:val="0"/>
        <w:rPr>
          <w:rFonts w:ascii="Arial" w:hAnsi="Arial" w:cs="Arial"/>
        </w:rPr>
      </w:pPr>
      <w:r w:rsidRPr="00045876">
        <w:rPr>
          <w:rFonts w:ascii="Arial" w:hAnsi="Arial" w:cs="Arial"/>
        </w:rPr>
        <w:tab/>
        <w:t>Thus, the issue of what constitutes the elements of a restitution claim (</w:t>
      </w:r>
      <w:r w:rsidR="003079F4" w:rsidRPr="003079F4">
        <w:rPr>
          <w:rFonts w:ascii="Arial" w:hAnsi="Arial" w:cs="Arial"/>
          <w:i/>
          <w:iCs/>
        </w:rPr>
        <w:t>i.e</w:t>
      </w:r>
      <w:r w:rsidR="003079F4">
        <w:rPr>
          <w:rFonts w:ascii="Arial" w:hAnsi="Arial" w:cs="Arial"/>
        </w:rPr>
        <w:t xml:space="preserve">., </w:t>
      </w:r>
      <w:r w:rsidRPr="00045876">
        <w:rPr>
          <w:rFonts w:ascii="Arial" w:hAnsi="Arial" w:cs="Arial"/>
        </w:rPr>
        <w:t>what is “the soundest rule for the Virgin Islands”) depends on whether the Special Master finds that this “knowledge” element is still required for a restitution claim to satisfy the deterrence purpose of a given claim.</w:t>
      </w:r>
    </w:p>
    <w:p w14:paraId="4991D2AC" w14:textId="77777777" w:rsidR="00A25486" w:rsidRPr="00045876" w:rsidRDefault="00A25486" w:rsidP="00A25486">
      <w:pPr>
        <w:spacing w:line="480" w:lineRule="auto"/>
        <w:ind w:firstLine="720"/>
        <w:jc w:val="both"/>
        <w:outlineLvl w:val="0"/>
        <w:rPr>
          <w:rFonts w:ascii="Arial" w:hAnsi="Arial" w:cs="Arial"/>
        </w:rPr>
      </w:pPr>
      <w:r w:rsidRPr="00045876">
        <w:rPr>
          <w:rFonts w:ascii="Arial" w:hAnsi="Arial" w:cs="Arial"/>
        </w:rPr>
        <w:t xml:space="preserve">Obviously if it is found that the “knowledge” element is still required, then the elements for unjust enrichment and restitution are the same, requiring partial summary judgment to be denied for the restitution claim for the same reasons already given for denying the unjust enrichment claim. </w:t>
      </w:r>
    </w:p>
    <w:p w14:paraId="7A4BDFC1" w14:textId="77777777" w:rsidR="00A25486" w:rsidRPr="00045876" w:rsidRDefault="00A25486" w:rsidP="00A25486">
      <w:pPr>
        <w:spacing w:line="480" w:lineRule="auto"/>
        <w:ind w:firstLine="720"/>
        <w:jc w:val="both"/>
        <w:outlineLvl w:val="0"/>
        <w:rPr>
          <w:rFonts w:ascii="Arial" w:hAnsi="Arial" w:cs="Arial"/>
        </w:rPr>
      </w:pPr>
      <w:r w:rsidRPr="00045876">
        <w:rPr>
          <w:rFonts w:ascii="Arial" w:hAnsi="Arial" w:cs="Arial"/>
        </w:rPr>
        <w:t>Moreover, even if it is found that this “knowledge” element is not part of a restitution claim, the result is the same. In this regard, these elements for a restitution claim without the “knowledge” claim would then be as follows:</w:t>
      </w:r>
    </w:p>
    <w:p w14:paraId="4BD3F60F" w14:textId="77777777" w:rsidR="00A25486" w:rsidRPr="00045876" w:rsidRDefault="00A25486" w:rsidP="00A25486">
      <w:pPr>
        <w:spacing w:line="480" w:lineRule="auto"/>
        <w:jc w:val="both"/>
        <w:outlineLvl w:val="0"/>
        <w:rPr>
          <w:rFonts w:ascii="Arial" w:hAnsi="Arial" w:cs="Arial"/>
        </w:rPr>
      </w:pPr>
      <w:r w:rsidRPr="00045876">
        <w:rPr>
          <w:rFonts w:ascii="Arial" w:hAnsi="Arial" w:cs="Arial"/>
        </w:rPr>
        <w:tab/>
        <w:t xml:space="preserve">(1) that the defendant was </w:t>
      </w:r>
      <w:proofErr w:type="gramStart"/>
      <w:r w:rsidRPr="00045876">
        <w:rPr>
          <w:rFonts w:ascii="Arial" w:hAnsi="Arial" w:cs="Arial"/>
        </w:rPr>
        <w:t>enriched;</w:t>
      </w:r>
      <w:proofErr w:type="gramEnd"/>
      <w:r w:rsidRPr="00045876">
        <w:rPr>
          <w:rFonts w:ascii="Arial" w:hAnsi="Arial" w:cs="Arial"/>
        </w:rPr>
        <w:t xml:space="preserve"> </w:t>
      </w:r>
    </w:p>
    <w:p w14:paraId="1D937C89" w14:textId="77777777" w:rsidR="00A25486" w:rsidRPr="00045876" w:rsidRDefault="00A25486" w:rsidP="00A25486">
      <w:pPr>
        <w:spacing w:line="480" w:lineRule="auto"/>
        <w:ind w:firstLine="720"/>
        <w:jc w:val="both"/>
        <w:outlineLvl w:val="0"/>
        <w:rPr>
          <w:rFonts w:ascii="Arial" w:hAnsi="Arial" w:cs="Arial"/>
        </w:rPr>
      </w:pPr>
      <w:r w:rsidRPr="00045876">
        <w:rPr>
          <w:rFonts w:ascii="Arial" w:hAnsi="Arial" w:cs="Arial"/>
        </w:rPr>
        <w:t xml:space="preserve">(2) that such enrichment was at the plaintiff's expense; and </w:t>
      </w:r>
    </w:p>
    <w:p w14:paraId="3E1D5A81" w14:textId="77777777" w:rsidR="00A25486" w:rsidRPr="00045876" w:rsidRDefault="00A25486" w:rsidP="00A25486">
      <w:pPr>
        <w:ind w:left="720"/>
        <w:jc w:val="both"/>
        <w:outlineLvl w:val="0"/>
        <w:rPr>
          <w:rFonts w:ascii="Arial" w:hAnsi="Arial" w:cs="Arial"/>
        </w:rPr>
      </w:pPr>
      <w:r w:rsidRPr="00045876">
        <w:rPr>
          <w:rFonts w:ascii="Arial" w:hAnsi="Arial" w:cs="Arial"/>
        </w:rPr>
        <w:t>(3) that the circumstances were such that in equity or good conscience the defendant should return the money or property to the plaintiff.</w:t>
      </w:r>
    </w:p>
    <w:p w14:paraId="0725CC53" w14:textId="77777777" w:rsidR="00A25486" w:rsidRPr="00045876" w:rsidRDefault="00A25486" w:rsidP="00A25486">
      <w:pPr>
        <w:ind w:left="720"/>
        <w:jc w:val="both"/>
        <w:outlineLvl w:val="0"/>
        <w:rPr>
          <w:rFonts w:ascii="Arial" w:hAnsi="Arial" w:cs="Arial"/>
        </w:rPr>
      </w:pPr>
    </w:p>
    <w:p w14:paraId="501C4E3D" w14:textId="77777777" w:rsidR="00A25486" w:rsidRPr="00045876" w:rsidRDefault="00A25486" w:rsidP="00A25486">
      <w:pPr>
        <w:spacing w:line="480" w:lineRule="auto"/>
        <w:jc w:val="both"/>
        <w:outlineLvl w:val="0"/>
        <w:rPr>
          <w:rFonts w:ascii="Arial" w:hAnsi="Arial" w:cs="Arial"/>
        </w:rPr>
      </w:pPr>
      <w:r w:rsidRPr="00045876">
        <w:rPr>
          <w:rFonts w:ascii="Arial" w:hAnsi="Arial" w:cs="Arial"/>
        </w:rPr>
        <w:t>However, partial summary judgment was denied on page 28 of the September 3</w:t>
      </w:r>
      <w:r w:rsidRPr="00045876">
        <w:rPr>
          <w:rFonts w:ascii="Arial" w:hAnsi="Arial" w:cs="Arial"/>
          <w:vertAlign w:val="superscript"/>
        </w:rPr>
        <w:t>rd</w:t>
      </w:r>
      <w:r w:rsidRPr="00045876">
        <w:rPr>
          <w:rFonts w:ascii="Arial" w:hAnsi="Arial" w:cs="Arial"/>
        </w:rPr>
        <w:t xml:space="preserve"> Order for the unjust enrichment claim because the “there is clearly a genuine dispute as to the </w:t>
      </w:r>
      <w:r w:rsidRPr="00045876">
        <w:rPr>
          <w:rFonts w:ascii="Arial" w:hAnsi="Arial" w:cs="Arial"/>
        </w:rPr>
        <w:lastRenderedPageBreak/>
        <w:t>terms of the agreement made as to the Water Proceeds,” which pertains to the second element above, summary judgment as to the restitution claim should also be denied even if the “knowledge” element is eliminated from this restitution claim.</w:t>
      </w:r>
    </w:p>
    <w:p w14:paraId="68F25BF0" w14:textId="77777777" w:rsidR="00A25486" w:rsidRPr="00045876" w:rsidRDefault="00A25486" w:rsidP="00A25486">
      <w:pPr>
        <w:pStyle w:val="ListParagraph"/>
        <w:numPr>
          <w:ilvl w:val="0"/>
          <w:numId w:val="1"/>
        </w:numPr>
        <w:spacing w:after="0" w:line="480" w:lineRule="auto"/>
        <w:jc w:val="both"/>
        <w:outlineLvl w:val="0"/>
        <w:rPr>
          <w:rFonts w:ascii="Arial" w:hAnsi="Arial" w:cs="Arial"/>
          <w:b/>
          <w:bCs/>
          <w:sz w:val="24"/>
          <w:szCs w:val="24"/>
        </w:rPr>
      </w:pPr>
      <w:r w:rsidRPr="00045876">
        <w:rPr>
          <w:rFonts w:ascii="Arial" w:hAnsi="Arial" w:cs="Arial"/>
          <w:b/>
          <w:bCs/>
          <w:sz w:val="24"/>
          <w:szCs w:val="24"/>
        </w:rPr>
        <w:t>Statute of Limitations (SOL)</w:t>
      </w:r>
    </w:p>
    <w:p w14:paraId="34BE07F7" w14:textId="77777777" w:rsidR="00A25486" w:rsidRPr="00045876" w:rsidRDefault="00A25486" w:rsidP="00A25486">
      <w:pPr>
        <w:shd w:val="clear" w:color="auto" w:fill="FFFFFF"/>
        <w:spacing w:line="480" w:lineRule="auto"/>
        <w:ind w:firstLine="720"/>
        <w:jc w:val="both"/>
        <w:textAlignment w:val="baseline"/>
        <w:rPr>
          <w:rFonts w:ascii="Arial" w:hAnsi="Arial" w:cs="Arial"/>
        </w:rPr>
      </w:pPr>
      <w:r w:rsidRPr="00045876">
        <w:rPr>
          <w:rFonts w:ascii="Arial" w:hAnsi="Arial" w:cs="Arial"/>
        </w:rPr>
        <w:t>As for the SOL issues raised by Yusuf, there is a threshold question that needs to be addressed—what type of claims are those asserted in Y-8 by Yusuf? The answer to that question dictates the response to this Court’s question—when does the SOL begin to accrue?</w:t>
      </w:r>
    </w:p>
    <w:p w14:paraId="79445948" w14:textId="77777777" w:rsidR="00A25486" w:rsidRPr="00045876" w:rsidRDefault="00A25486" w:rsidP="00A25486">
      <w:pPr>
        <w:shd w:val="clear" w:color="auto" w:fill="FFFFFF"/>
        <w:spacing w:line="480" w:lineRule="auto"/>
        <w:ind w:firstLine="720"/>
        <w:jc w:val="both"/>
        <w:textAlignment w:val="baseline"/>
        <w:rPr>
          <w:rFonts w:ascii="Arial" w:hAnsi="Arial" w:cs="Arial"/>
        </w:rPr>
      </w:pPr>
      <w:r w:rsidRPr="00045876">
        <w:rPr>
          <w:rFonts w:ascii="Arial" w:hAnsi="Arial" w:cs="Arial"/>
        </w:rPr>
        <w:t xml:space="preserve">Hamed has always argued that Yusuf’s Y-8 “water” claim is based on an alleged contractual relationship. In deposition, Yusuf described when and where the alleged arrangement was </w:t>
      </w:r>
      <w:proofErr w:type="gramStart"/>
      <w:r w:rsidRPr="00045876">
        <w:rPr>
          <w:rFonts w:ascii="Arial" w:hAnsi="Arial" w:cs="Arial"/>
        </w:rPr>
        <w:t>entered into</w:t>
      </w:r>
      <w:proofErr w:type="gramEnd"/>
      <w:r w:rsidRPr="00045876">
        <w:rPr>
          <w:rFonts w:ascii="Arial" w:hAnsi="Arial" w:cs="Arial"/>
        </w:rPr>
        <w:t xml:space="preserve">, that it was a “bargained for exchange” and that Hamed “accepted” the terms. Thus, Yusuf’s Y-8 water claim certainly </w:t>
      </w:r>
      <w:r w:rsidRPr="003079F4">
        <w:rPr>
          <w:rFonts w:ascii="Arial" w:hAnsi="Arial" w:cs="Arial"/>
          <w:i/>
          <w:iCs/>
          <w:u w:val="single"/>
        </w:rPr>
        <w:t>appeared</w:t>
      </w:r>
      <w:r w:rsidRPr="00045876">
        <w:rPr>
          <w:rFonts w:ascii="Arial" w:hAnsi="Arial" w:cs="Arial"/>
          <w:i/>
          <w:iCs/>
        </w:rPr>
        <w:t xml:space="preserve"> to Hamed</w:t>
      </w:r>
      <w:r w:rsidRPr="00045876">
        <w:rPr>
          <w:rFonts w:ascii="Arial" w:hAnsi="Arial" w:cs="Arial"/>
        </w:rPr>
        <w:t xml:space="preserve"> to be based upon an alleged “bargained for” exchange—a contract—where Hamed agreed to spend money and in return the partners would “sell water”.</w:t>
      </w:r>
      <w:r w:rsidRPr="00045876">
        <w:rPr>
          <w:rStyle w:val="FootnoteReference"/>
          <w:rFonts w:ascii="Arial" w:hAnsi="Arial" w:cs="Arial"/>
        </w:rPr>
        <w:footnoteReference w:id="2"/>
      </w:r>
      <w:r w:rsidRPr="00045876">
        <w:rPr>
          <w:rFonts w:ascii="Arial" w:hAnsi="Arial" w:cs="Arial"/>
        </w:rPr>
        <w:t xml:space="preserve"> </w:t>
      </w:r>
    </w:p>
    <w:p w14:paraId="4E221518" w14:textId="77777777" w:rsidR="00A25486" w:rsidRPr="00045876" w:rsidRDefault="00A25486" w:rsidP="00A25486">
      <w:pPr>
        <w:shd w:val="clear" w:color="auto" w:fill="FFFFFF"/>
        <w:spacing w:line="480" w:lineRule="auto"/>
        <w:ind w:firstLine="720"/>
        <w:jc w:val="both"/>
        <w:textAlignment w:val="baseline"/>
        <w:rPr>
          <w:rFonts w:ascii="Arial" w:hAnsi="Arial" w:cs="Arial"/>
        </w:rPr>
      </w:pPr>
      <w:r w:rsidRPr="00045876">
        <w:rPr>
          <w:rFonts w:ascii="Arial" w:hAnsi="Arial" w:cs="Arial"/>
          <w:color w:val="000000"/>
        </w:rPr>
        <w:t>As noted, the September 3</w:t>
      </w:r>
      <w:r w:rsidRPr="00045876">
        <w:rPr>
          <w:rFonts w:ascii="Arial" w:hAnsi="Arial" w:cs="Arial"/>
          <w:color w:val="000000"/>
          <w:vertAlign w:val="superscript"/>
        </w:rPr>
        <w:t>rd</w:t>
      </w:r>
      <w:r w:rsidRPr="00045876">
        <w:rPr>
          <w:rFonts w:ascii="Arial" w:hAnsi="Arial" w:cs="Arial"/>
          <w:color w:val="000000"/>
        </w:rPr>
        <w:t xml:space="preserve"> Order sought clarification on when this </w:t>
      </w:r>
      <w:proofErr w:type="gramStart"/>
      <w:r w:rsidRPr="00045876">
        <w:rPr>
          <w:rFonts w:ascii="Arial" w:hAnsi="Arial" w:cs="Arial"/>
          <w:color w:val="000000"/>
        </w:rPr>
        <w:t>6 year</w:t>
      </w:r>
      <w:proofErr w:type="gramEnd"/>
      <w:r w:rsidRPr="00045876">
        <w:rPr>
          <w:rFonts w:ascii="Arial" w:hAnsi="Arial" w:cs="Arial"/>
          <w:color w:val="000000"/>
        </w:rPr>
        <w:t xml:space="preserve"> statute would be triggered. While there is no V.I. Supreme Court case directly on point, Yusuf cited the dicta in footnote 19 of the V.I. Supreme Court holding in </w:t>
      </w:r>
      <w:r w:rsidRPr="00045876">
        <w:rPr>
          <w:rFonts w:ascii="Arial" w:hAnsi="Arial" w:cs="Arial"/>
          <w:i/>
          <w:iCs/>
          <w:color w:val="000000"/>
          <w:bdr w:val="none" w:sz="0" w:space="0" w:color="auto" w:frame="1"/>
        </w:rPr>
        <w:t>Vanterpool v. Gov't of Virgin Islands</w:t>
      </w:r>
      <w:r w:rsidRPr="00045876">
        <w:rPr>
          <w:rFonts w:ascii="Arial" w:hAnsi="Arial" w:cs="Arial"/>
          <w:color w:val="000000"/>
        </w:rPr>
        <w:t>, 63 V.I. 563, 594 (2015), which stated:</w:t>
      </w:r>
    </w:p>
    <w:p w14:paraId="0C900FF7" w14:textId="77777777" w:rsidR="00A25486" w:rsidRPr="00045876" w:rsidRDefault="00A25486" w:rsidP="00A25486">
      <w:pPr>
        <w:ind w:left="720"/>
        <w:jc w:val="both"/>
        <w:rPr>
          <w:rFonts w:ascii="Arial" w:hAnsi="Arial" w:cs="Arial"/>
          <w:color w:val="000000"/>
          <w:shd w:val="clear" w:color="auto" w:fill="FFFFFF"/>
        </w:rPr>
      </w:pPr>
      <w:r w:rsidRPr="00045876">
        <w:rPr>
          <w:rFonts w:ascii="Arial" w:hAnsi="Arial" w:cs="Arial"/>
          <w:color w:val="000000"/>
          <w:shd w:val="clear" w:color="auto" w:fill="FFFFFF"/>
        </w:rPr>
        <w:lastRenderedPageBreak/>
        <w:t xml:space="preserve">. . . </w:t>
      </w:r>
      <w:bookmarkStart w:id="0" w:name="_Hlk54270928"/>
      <w:r w:rsidRPr="00045876">
        <w:rPr>
          <w:rFonts w:ascii="Arial" w:hAnsi="Arial" w:cs="Arial"/>
          <w:color w:val="000000"/>
          <w:shd w:val="clear" w:color="auto" w:fill="FFFFFF"/>
        </w:rPr>
        <w:t>. Nevertheless, we note that this Court has previously held that the statute of limitations on a cause of action begins to run from the date the cause of action accrued, which ordinarily is the date upon “occurrence of the essential facts that give rise to that cause of action.”</w:t>
      </w:r>
      <w:r w:rsidRPr="00045876">
        <w:rPr>
          <w:rStyle w:val="apple-converted-space"/>
          <w:rFonts w:ascii="Arial" w:hAnsi="Arial" w:cs="Arial"/>
          <w:color w:val="000000"/>
          <w:shd w:val="clear" w:color="auto" w:fill="FFFFFF"/>
        </w:rPr>
        <w:t> </w:t>
      </w:r>
      <w:r w:rsidRPr="00045876">
        <w:rPr>
          <w:rStyle w:val="Emphasis"/>
          <w:rFonts w:ascii="Arial" w:hAnsi="Arial" w:cs="Arial"/>
          <w:color w:val="000000"/>
          <w:bdr w:val="none" w:sz="0" w:space="0" w:color="auto" w:frame="1"/>
          <w:shd w:val="clear" w:color="auto" w:fill="FFFFFF"/>
        </w:rPr>
        <w:t>Anthony v. FirstBank V.I.,</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58 V.I. 224, 230 (V.I.2013) (quoting</w:t>
      </w:r>
      <w:r w:rsidRPr="00045876">
        <w:rPr>
          <w:rStyle w:val="apple-converted-space"/>
          <w:rFonts w:ascii="Arial" w:hAnsi="Arial" w:cs="Arial"/>
          <w:color w:val="000000"/>
          <w:shd w:val="clear" w:color="auto" w:fill="FFFFFF"/>
        </w:rPr>
        <w:t> </w:t>
      </w:r>
      <w:r w:rsidRPr="00045876">
        <w:rPr>
          <w:rStyle w:val="Emphasis"/>
          <w:rFonts w:ascii="Arial" w:hAnsi="Arial" w:cs="Arial"/>
          <w:color w:val="000000"/>
          <w:bdr w:val="none" w:sz="0" w:space="0" w:color="auto" w:frame="1"/>
          <w:shd w:val="clear" w:color="auto" w:fill="FFFFFF"/>
        </w:rPr>
        <w:t>Burton v. First Bank of P.R.,</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49 V.I. 16, 20 (V.I.Super.Ct.2007));</w:t>
      </w:r>
      <w:r w:rsidRPr="00045876">
        <w:rPr>
          <w:rStyle w:val="apple-converted-space"/>
          <w:rFonts w:ascii="Arial" w:hAnsi="Arial" w:cs="Arial"/>
          <w:color w:val="000000"/>
          <w:shd w:val="clear" w:color="auto" w:fill="FFFFFF"/>
        </w:rPr>
        <w:t> </w:t>
      </w:r>
      <w:r w:rsidRPr="00045876">
        <w:rPr>
          <w:rStyle w:val="Emphasis"/>
          <w:rFonts w:ascii="Arial" w:hAnsi="Arial" w:cs="Arial"/>
          <w:color w:val="000000"/>
          <w:bdr w:val="none" w:sz="0" w:space="0" w:color="auto" w:frame="1"/>
          <w:shd w:val="clear" w:color="auto" w:fill="FFFFFF"/>
        </w:rPr>
        <w:t>see also</w:t>
      </w:r>
      <w:r w:rsidRPr="00045876">
        <w:rPr>
          <w:rStyle w:val="apple-converted-space"/>
          <w:rFonts w:ascii="Arial" w:hAnsi="Arial" w:cs="Arial"/>
          <w:i/>
          <w:iCs/>
          <w:color w:val="000000"/>
          <w:bdr w:val="none" w:sz="0" w:space="0" w:color="auto" w:frame="1"/>
          <w:shd w:val="clear" w:color="auto" w:fill="FFFFFF"/>
        </w:rPr>
        <w:t> </w:t>
      </w:r>
      <w:r w:rsidRPr="00045876">
        <w:rPr>
          <w:rStyle w:val="Emphasis"/>
          <w:rFonts w:ascii="Arial" w:hAnsi="Arial" w:cs="Arial"/>
          <w:color w:val="000000"/>
          <w:bdr w:val="none" w:sz="0" w:space="0" w:color="auto" w:frame="1"/>
          <w:shd w:val="clear" w:color="auto" w:fill="FFFFFF"/>
        </w:rPr>
        <w:t>Sunoco, Inc. (R &amp; M) v. 175–33 Horace Harding Realty Corp.,</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969 F.Supp.2d 297, 304 (E.D.N.Y.2013) (“[A] cause of action for breach of contract did not accrue until ... the Defendant refused to pay.”);</w:t>
      </w:r>
      <w:r w:rsidRPr="00045876">
        <w:rPr>
          <w:rStyle w:val="apple-converted-space"/>
          <w:rFonts w:ascii="Arial" w:hAnsi="Arial" w:cs="Arial"/>
          <w:color w:val="000000"/>
          <w:shd w:val="clear" w:color="auto" w:fill="FFFFFF"/>
        </w:rPr>
        <w:t> </w:t>
      </w:r>
      <w:r w:rsidRPr="00045876">
        <w:rPr>
          <w:rStyle w:val="Emphasis"/>
          <w:rFonts w:ascii="Arial" w:hAnsi="Arial" w:cs="Arial"/>
          <w:color w:val="000000"/>
          <w:bdr w:val="none" w:sz="0" w:space="0" w:color="auto" w:frame="1"/>
          <w:shd w:val="clear" w:color="auto" w:fill="FFFFFF"/>
        </w:rPr>
        <w:t xml:space="preserve">Olson v. </w:t>
      </w:r>
      <w:proofErr w:type="spellStart"/>
      <w:r w:rsidRPr="00045876">
        <w:rPr>
          <w:rStyle w:val="Emphasis"/>
          <w:rFonts w:ascii="Arial" w:hAnsi="Arial" w:cs="Arial"/>
          <w:color w:val="000000"/>
          <w:bdr w:val="none" w:sz="0" w:space="0" w:color="auto" w:frame="1"/>
          <w:shd w:val="clear" w:color="auto" w:fill="FFFFFF"/>
        </w:rPr>
        <w:t>Rugloski</w:t>
      </w:r>
      <w:proofErr w:type="spellEnd"/>
      <w:r w:rsidRPr="00045876">
        <w:rPr>
          <w:rStyle w:val="Emphasis"/>
          <w:rFonts w:ascii="Arial" w:hAnsi="Arial" w:cs="Arial"/>
          <w:color w:val="000000"/>
          <w:bdr w:val="none" w:sz="0" w:space="0" w:color="auto" w:frame="1"/>
          <w:shd w:val="clear" w:color="auto" w:fill="FFFFFF"/>
        </w:rPr>
        <w:t>,</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277 N.W.2d 385, 387–88 (Minn.1979) (stating that a contract is breached when a party “refuses to pay or unreasonably delays payment of an undisputed amount”). These principles apply in quantum meruit cases as well.</w:t>
      </w:r>
      <w:r w:rsidRPr="00045876">
        <w:rPr>
          <w:rStyle w:val="apple-converted-space"/>
          <w:rFonts w:ascii="Arial" w:hAnsi="Arial" w:cs="Arial"/>
          <w:color w:val="000000"/>
          <w:shd w:val="clear" w:color="auto" w:fill="FFFFFF"/>
        </w:rPr>
        <w:t> </w:t>
      </w:r>
      <w:r w:rsidRPr="00045876">
        <w:rPr>
          <w:rStyle w:val="Emphasis"/>
          <w:rFonts w:ascii="Arial" w:hAnsi="Arial" w:cs="Arial"/>
          <w:color w:val="000000"/>
          <w:bdr w:val="none" w:sz="0" w:space="0" w:color="auto" w:frame="1"/>
          <w:shd w:val="clear" w:color="auto" w:fill="FFFFFF"/>
        </w:rPr>
        <w:t>See, e.g.,</w:t>
      </w:r>
      <w:r w:rsidRPr="00045876">
        <w:rPr>
          <w:rStyle w:val="apple-converted-space"/>
          <w:rFonts w:ascii="Arial" w:hAnsi="Arial" w:cs="Arial"/>
          <w:color w:val="000000"/>
          <w:shd w:val="clear" w:color="auto" w:fill="FFFFFF"/>
        </w:rPr>
        <w:t> </w:t>
      </w:r>
      <w:proofErr w:type="spellStart"/>
      <w:r w:rsidRPr="00045876">
        <w:rPr>
          <w:rStyle w:val="Emphasis"/>
          <w:rFonts w:ascii="Arial" w:hAnsi="Arial" w:cs="Arial"/>
          <w:color w:val="000000"/>
          <w:bdr w:val="none" w:sz="0" w:space="0" w:color="auto" w:frame="1"/>
          <w:shd w:val="clear" w:color="auto" w:fill="FFFFFF"/>
        </w:rPr>
        <w:t>Zic</w:t>
      </w:r>
      <w:proofErr w:type="spellEnd"/>
      <w:r w:rsidRPr="00045876">
        <w:rPr>
          <w:rStyle w:val="Emphasis"/>
          <w:rFonts w:ascii="Arial" w:hAnsi="Arial" w:cs="Arial"/>
          <w:color w:val="000000"/>
          <w:bdr w:val="none" w:sz="0" w:space="0" w:color="auto" w:frame="1"/>
          <w:shd w:val="clear" w:color="auto" w:fill="FFFFFF"/>
        </w:rPr>
        <w:t xml:space="preserve"> v. Italian Gov't Travel Office,</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149 F.Supp.2d 473, 476 (N.D.Ill.2001) (citing</w:t>
      </w:r>
      <w:r w:rsidRPr="00045876">
        <w:rPr>
          <w:rStyle w:val="apple-converted-space"/>
          <w:rFonts w:ascii="Arial" w:hAnsi="Arial" w:cs="Arial"/>
          <w:color w:val="000000"/>
          <w:shd w:val="clear" w:color="auto" w:fill="FFFFFF"/>
        </w:rPr>
        <w:t> </w:t>
      </w:r>
      <w:proofErr w:type="spellStart"/>
      <w:r w:rsidRPr="00045876">
        <w:rPr>
          <w:rStyle w:val="Emphasis"/>
          <w:rFonts w:ascii="Arial" w:hAnsi="Arial" w:cs="Arial"/>
          <w:color w:val="000000"/>
          <w:bdr w:val="none" w:sz="0" w:space="0" w:color="auto" w:frame="1"/>
          <w:shd w:val="clear" w:color="auto" w:fill="FFFFFF"/>
        </w:rPr>
        <w:t>Rohter</w:t>
      </w:r>
      <w:proofErr w:type="spellEnd"/>
      <w:r w:rsidRPr="00045876">
        <w:rPr>
          <w:rStyle w:val="Emphasis"/>
          <w:rFonts w:ascii="Arial" w:hAnsi="Arial" w:cs="Arial"/>
          <w:color w:val="000000"/>
          <w:bdr w:val="none" w:sz="0" w:space="0" w:color="auto" w:frame="1"/>
          <w:shd w:val="clear" w:color="auto" w:fill="FFFFFF"/>
        </w:rPr>
        <w:t xml:space="preserve"> v. Passarella,</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617 N.E.2d 46, 52 (Ill.App.Ct.1993)) (quantum meruit “cause of action accrues upon presentment and subsequent rejection of a bill for services”);</w:t>
      </w:r>
      <w:r w:rsidRPr="00045876">
        <w:rPr>
          <w:rStyle w:val="apple-converted-space"/>
          <w:rFonts w:ascii="Arial" w:hAnsi="Arial" w:cs="Arial"/>
          <w:color w:val="000000"/>
          <w:shd w:val="clear" w:color="auto" w:fill="FFFFFF"/>
        </w:rPr>
        <w:t> </w:t>
      </w:r>
      <w:proofErr w:type="spellStart"/>
      <w:r w:rsidRPr="00045876">
        <w:rPr>
          <w:rStyle w:val="Emphasis"/>
          <w:rFonts w:ascii="Arial" w:hAnsi="Arial" w:cs="Arial"/>
          <w:color w:val="000000"/>
          <w:bdr w:val="none" w:sz="0" w:space="0" w:color="auto" w:frame="1"/>
          <w:shd w:val="clear" w:color="auto" w:fill="FFFFFF"/>
        </w:rPr>
        <w:t>Maglica</w:t>
      </w:r>
      <w:proofErr w:type="spellEnd"/>
      <w:r w:rsidRPr="00045876">
        <w:rPr>
          <w:rStyle w:val="Emphasis"/>
          <w:rFonts w:ascii="Arial" w:hAnsi="Arial" w:cs="Arial"/>
          <w:color w:val="000000"/>
          <w:bdr w:val="none" w:sz="0" w:space="0" w:color="auto" w:frame="1"/>
          <w:shd w:val="clear" w:color="auto" w:fill="FFFFFF"/>
        </w:rPr>
        <w:t xml:space="preserve"> v. </w:t>
      </w:r>
      <w:proofErr w:type="spellStart"/>
      <w:r w:rsidRPr="00045876">
        <w:rPr>
          <w:rStyle w:val="Emphasis"/>
          <w:rFonts w:ascii="Arial" w:hAnsi="Arial" w:cs="Arial"/>
          <w:color w:val="000000"/>
          <w:bdr w:val="none" w:sz="0" w:space="0" w:color="auto" w:frame="1"/>
          <w:shd w:val="clear" w:color="auto" w:fill="FFFFFF"/>
        </w:rPr>
        <w:t>Maglica</w:t>
      </w:r>
      <w:proofErr w:type="spellEnd"/>
      <w:r w:rsidRPr="00045876">
        <w:rPr>
          <w:rStyle w:val="Emphasis"/>
          <w:rFonts w:ascii="Arial" w:hAnsi="Arial" w:cs="Arial"/>
          <w:color w:val="000000"/>
          <w:bdr w:val="none" w:sz="0" w:space="0" w:color="auto" w:frame="1"/>
          <w:shd w:val="clear" w:color="auto" w:fill="FFFFFF"/>
        </w:rPr>
        <w:t>,</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78 Cal.Rptr.2d 101, 106–08 (Cal.Ct.App.1998) (when the statute of limitations begins to run depends upon the nature of the parties' relationship and expectations as to when compensation would be due);</w:t>
      </w:r>
      <w:r w:rsidRPr="00045876">
        <w:rPr>
          <w:rStyle w:val="apple-converted-space"/>
          <w:rFonts w:ascii="Arial" w:hAnsi="Arial" w:cs="Arial"/>
          <w:color w:val="000000"/>
          <w:shd w:val="clear" w:color="auto" w:fill="FFFFFF"/>
        </w:rPr>
        <w:t> </w:t>
      </w:r>
      <w:r w:rsidRPr="00045876">
        <w:rPr>
          <w:rStyle w:val="Emphasis"/>
          <w:rFonts w:ascii="Arial" w:hAnsi="Arial" w:cs="Arial"/>
          <w:color w:val="000000"/>
          <w:bdr w:val="none" w:sz="0" w:space="0" w:color="auto" w:frame="1"/>
          <w:shd w:val="clear" w:color="auto" w:fill="FFFFFF"/>
        </w:rPr>
        <w:t>Generation Partners, LP v. Mandell,</w:t>
      </w:r>
      <w:r w:rsidRPr="00045876">
        <w:rPr>
          <w:rStyle w:val="apple-converted-space"/>
          <w:rFonts w:ascii="Arial" w:hAnsi="Arial" w:cs="Arial"/>
          <w:color w:val="000000"/>
          <w:shd w:val="clear" w:color="auto" w:fill="FFFFFF"/>
        </w:rPr>
        <w:t> </w:t>
      </w:r>
      <w:r w:rsidRPr="00045876">
        <w:rPr>
          <w:rFonts w:ascii="Arial" w:hAnsi="Arial" w:cs="Arial"/>
          <w:color w:val="000000"/>
          <w:shd w:val="clear" w:color="auto" w:fill="FFFFFF"/>
        </w:rPr>
        <w:t xml:space="preserve">2011 </w:t>
      </w:r>
      <w:proofErr w:type="spellStart"/>
      <w:r w:rsidRPr="00045876">
        <w:rPr>
          <w:rFonts w:ascii="Arial" w:hAnsi="Arial" w:cs="Arial"/>
          <w:color w:val="000000"/>
          <w:shd w:val="clear" w:color="auto" w:fill="FFFFFF"/>
        </w:rPr>
        <w:t>Conn.Super</w:t>
      </w:r>
      <w:proofErr w:type="spellEnd"/>
      <w:r w:rsidRPr="00045876">
        <w:rPr>
          <w:rFonts w:ascii="Arial" w:hAnsi="Arial" w:cs="Arial"/>
          <w:color w:val="000000"/>
          <w:shd w:val="clear" w:color="auto" w:fill="FFFFFF"/>
        </w:rPr>
        <w:t>. LEXIS 1913, at *10, 2011 WL 3671966 (</w:t>
      </w:r>
      <w:proofErr w:type="spellStart"/>
      <w:r w:rsidRPr="00045876">
        <w:rPr>
          <w:rFonts w:ascii="Arial" w:hAnsi="Arial" w:cs="Arial"/>
          <w:color w:val="000000"/>
          <w:shd w:val="clear" w:color="auto" w:fill="FFFFFF"/>
        </w:rPr>
        <w:t>Conn.Super.Ct</w:t>
      </w:r>
      <w:proofErr w:type="spellEnd"/>
      <w:r w:rsidRPr="00045876">
        <w:rPr>
          <w:rFonts w:ascii="Arial" w:hAnsi="Arial" w:cs="Arial"/>
          <w:color w:val="000000"/>
          <w:shd w:val="clear" w:color="auto" w:fill="FFFFFF"/>
        </w:rPr>
        <w:t>. July 22, 2011) (statute of limitations began to run on claims of quantum meruit and unjust enrichment when defendants refused demand for payment, as this was “the earliest point in time that the plaintiffs could have suffered an injury”).</w:t>
      </w:r>
    </w:p>
    <w:p w14:paraId="0DC12CD5" w14:textId="77777777" w:rsidR="00A25486" w:rsidRPr="00045876" w:rsidRDefault="00A25486" w:rsidP="00A25486">
      <w:pPr>
        <w:jc w:val="both"/>
        <w:rPr>
          <w:rFonts w:ascii="Arial" w:hAnsi="Arial" w:cs="Arial"/>
          <w:color w:val="000000"/>
          <w:shd w:val="clear" w:color="auto" w:fill="FFFFFF"/>
        </w:rPr>
      </w:pPr>
    </w:p>
    <w:bookmarkEnd w:id="0"/>
    <w:p w14:paraId="46E1A066" w14:textId="7134F998" w:rsidR="00A25486" w:rsidRPr="00045876" w:rsidRDefault="00A25486" w:rsidP="00A25486">
      <w:pPr>
        <w:spacing w:line="480" w:lineRule="auto"/>
        <w:jc w:val="both"/>
        <w:rPr>
          <w:rFonts w:ascii="Arial" w:hAnsi="Arial" w:cs="Arial"/>
          <w:color w:val="000000"/>
          <w:shd w:val="clear" w:color="auto" w:fill="FFFFFF"/>
        </w:rPr>
      </w:pPr>
      <w:r w:rsidRPr="00045876">
        <w:rPr>
          <w:rFonts w:ascii="Arial" w:hAnsi="Arial" w:cs="Arial"/>
          <w:color w:val="000000"/>
          <w:shd w:val="clear" w:color="auto" w:fill="FFFFFF"/>
        </w:rPr>
        <w:t>Thus, while dicta, this holding obviously states the applicable law that answers the question raised in th</w:t>
      </w:r>
      <w:r w:rsidR="00535DED">
        <w:rPr>
          <w:rFonts w:ascii="Arial" w:hAnsi="Arial" w:cs="Arial"/>
          <w:color w:val="000000"/>
          <w:shd w:val="clear" w:color="auto" w:fill="FFFFFF"/>
        </w:rPr>
        <w:t xml:space="preserve">e </w:t>
      </w:r>
      <w:r w:rsidRPr="00045876">
        <w:rPr>
          <w:rFonts w:ascii="Arial" w:hAnsi="Arial" w:cs="Arial"/>
          <w:color w:val="000000"/>
          <w:shd w:val="clear" w:color="auto" w:fill="FFFFFF"/>
        </w:rPr>
        <w:t>September 3</w:t>
      </w:r>
      <w:r w:rsidRPr="00045876">
        <w:rPr>
          <w:rFonts w:ascii="Arial" w:hAnsi="Arial" w:cs="Arial"/>
          <w:color w:val="000000"/>
          <w:shd w:val="clear" w:color="auto" w:fill="FFFFFF"/>
          <w:vertAlign w:val="superscript"/>
        </w:rPr>
        <w:t>rd</w:t>
      </w:r>
      <w:r w:rsidRPr="00045876">
        <w:rPr>
          <w:rFonts w:ascii="Arial" w:hAnsi="Arial" w:cs="Arial"/>
          <w:color w:val="000000"/>
          <w:shd w:val="clear" w:color="auto" w:fill="FFFFFF"/>
        </w:rPr>
        <w:t xml:space="preserve"> Order </w:t>
      </w:r>
      <w:r w:rsidRPr="003079F4">
        <w:rPr>
          <w:rFonts w:ascii="Arial" w:hAnsi="Arial" w:cs="Arial"/>
          <w:b/>
          <w:bCs/>
          <w:color w:val="000000"/>
          <w:u w:val="single"/>
          <w:shd w:val="clear" w:color="auto" w:fill="FFFFFF"/>
        </w:rPr>
        <w:t>if</w:t>
      </w:r>
      <w:r w:rsidRPr="00045876">
        <w:rPr>
          <w:rFonts w:ascii="Arial" w:hAnsi="Arial" w:cs="Arial"/>
          <w:b/>
          <w:bCs/>
          <w:color w:val="000000"/>
          <w:shd w:val="clear" w:color="auto" w:fill="FFFFFF"/>
        </w:rPr>
        <w:t xml:space="preserve"> Y-8 is an equitably based contract claim</w:t>
      </w:r>
      <w:r w:rsidRPr="00045876">
        <w:rPr>
          <w:rFonts w:ascii="Arial" w:hAnsi="Arial" w:cs="Arial"/>
          <w:color w:val="000000"/>
          <w:shd w:val="clear" w:color="auto" w:fill="FFFFFF"/>
        </w:rPr>
        <w:t>.</w:t>
      </w:r>
      <w:r w:rsidRPr="00045876">
        <w:rPr>
          <w:rStyle w:val="FootnoteReference"/>
          <w:rFonts w:ascii="Arial" w:hAnsi="Arial" w:cs="Arial"/>
          <w:color w:val="000000"/>
          <w:shd w:val="clear" w:color="auto" w:fill="FFFFFF"/>
        </w:rPr>
        <w:footnoteReference w:id="3"/>
      </w:r>
      <w:r w:rsidRPr="00045876">
        <w:rPr>
          <w:rFonts w:ascii="Arial" w:hAnsi="Arial" w:cs="Arial"/>
          <w:color w:val="000000"/>
          <w:shd w:val="clear" w:color="auto" w:fill="FFFFFF"/>
        </w:rPr>
        <w:t xml:space="preserve"> </w:t>
      </w:r>
    </w:p>
    <w:p w14:paraId="58D34BA9" w14:textId="00E5E278" w:rsidR="00A25486" w:rsidRPr="00045876" w:rsidRDefault="00A25486" w:rsidP="00A25486">
      <w:pPr>
        <w:spacing w:line="480" w:lineRule="auto"/>
        <w:jc w:val="both"/>
        <w:rPr>
          <w:rFonts w:ascii="Arial" w:hAnsi="Arial" w:cs="Arial"/>
          <w:color w:val="000000"/>
        </w:rPr>
      </w:pPr>
      <w:r w:rsidRPr="00045876">
        <w:rPr>
          <w:rFonts w:ascii="Arial" w:hAnsi="Arial" w:cs="Arial"/>
          <w:color w:val="000000"/>
        </w:rPr>
        <w:lastRenderedPageBreak/>
        <w:tab/>
        <w:t xml:space="preserve">However, while this analysis initially seemed simple to </w:t>
      </w:r>
      <w:r w:rsidR="003079F4">
        <w:rPr>
          <w:rFonts w:ascii="Arial" w:hAnsi="Arial" w:cs="Arial"/>
          <w:color w:val="000000"/>
        </w:rPr>
        <w:t>Hamed</w:t>
      </w:r>
      <w:r w:rsidRPr="00045876">
        <w:rPr>
          <w:rFonts w:ascii="Arial" w:hAnsi="Arial" w:cs="Arial"/>
          <w:color w:val="000000"/>
        </w:rPr>
        <w:t xml:space="preserve">, Yusuf adamantly states </w:t>
      </w:r>
      <w:r w:rsidR="003079F4">
        <w:rPr>
          <w:rFonts w:ascii="Arial" w:hAnsi="Arial" w:cs="Arial"/>
          <w:color w:val="000000"/>
        </w:rPr>
        <w:t>at</w:t>
      </w:r>
      <w:r w:rsidR="00535DED">
        <w:rPr>
          <w:rFonts w:ascii="Arial" w:hAnsi="Arial" w:cs="Arial"/>
          <w:color w:val="000000"/>
        </w:rPr>
        <w:t xml:space="preserve"> 12 of</w:t>
      </w:r>
      <w:r w:rsidRPr="00045876">
        <w:rPr>
          <w:rFonts w:ascii="Arial" w:hAnsi="Arial" w:cs="Arial"/>
          <w:color w:val="000000"/>
        </w:rPr>
        <w:t xml:space="preserve"> his October 15</w:t>
      </w:r>
      <w:r w:rsidRPr="00045876">
        <w:rPr>
          <w:rFonts w:ascii="Arial" w:hAnsi="Arial" w:cs="Arial"/>
          <w:color w:val="000000"/>
          <w:vertAlign w:val="superscript"/>
        </w:rPr>
        <w:t>th</w:t>
      </w:r>
      <w:r w:rsidRPr="00045876">
        <w:rPr>
          <w:rFonts w:ascii="Arial" w:hAnsi="Arial" w:cs="Arial"/>
          <w:color w:val="000000"/>
        </w:rPr>
        <w:t xml:space="preserve"> filing that these claims </w:t>
      </w:r>
      <w:r w:rsidRPr="00045876">
        <w:rPr>
          <w:rFonts w:ascii="Arial" w:hAnsi="Arial" w:cs="Arial"/>
          <w:b/>
          <w:bCs/>
          <w:color w:val="000000"/>
        </w:rPr>
        <w:t>are not contract</w:t>
      </w:r>
      <w:r w:rsidRPr="00045876">
        <w:rPr>
          <w:rFonts w:ascii="Arial" w:hAnsi="Arial" w:cs="Arial"/>
          <w:color w:val="000000"/>
        </w:rPr>
        <w:t xml:space="preserve"> </w:t>
      </w:r>
      <w:r w:rsidRPr="00045876">
        <w:rPr>
          <w:rFonts w:ascii="Arial" w:hAnsi="Arial" w:cs="Arial"/>
          <w:b/>
          <w:bCs/>
          <w:color w:val="000000"/>
        </w:rPr>
        <w:t>based claims</w:t>
      </w:r>
      <w:r w:rsidR="00535DED">
        <w:rPr>
          <w:rFonts w:ascii="Arial" w:hAnsi="Arial" w:cs="Arial"/>
          <w:color w:val="000000"/>
        </w:rPr>
        <w:t>:</w:t>
      </w:r>
    </w:p>
    <w:p w14:paraId="3D0A6DBC" w14:textId="77777777" w:rsidR="00A25486" w:rsidRPr="00045876" w:rsidRDefault="00A25486" w:rsidP="00A25486">
      <w:pPr>
        <w:ind w:left="720"/>
        <w:jc w:val="both"/>
        <w:rPr>
          <w:rFonts w:ascii="Arial" w:hAnsi="Arial" w:cs="Arial"/>
          <w:color w:val="000000"/>
        </w:rPr>
      </w:pPr>
      <w:r w:rsidRPr="00045876">
        <w:rPr>
          <w:rFonts w:ascii="Arial" w:hAnsi="Arial" w:cs="Arial"/>
        </w:rPr>
        <w:t>United did not frame its Y-8 claim as a breach of contract claim in its opening and reply briefs in support of its motion for partial summary judgment on that claim.</w:t>
      </w:r>
      <w:r w:rsidRPr="00045876">
        <w:rPr>
          <w:rFonts w:ascii="Arial" w:hAnsi="Arial" w:cs="Arial"/>
          <w:color w:val="000000"/>
        </w:rPr>
        <w:tab/>
      </w:r>
    </w:p>
    <w:p w14:paraId="542088E2" w14:textId="77777777" w:rsidR="00A25486" w:rsidRPr="00045876" w:rsidRDefault="00A25486" w:rsidP="00A25486">
      <w:pPr>
        <w:ind w:left="720"/>
        <w:jc w:val="both"/>
        <w:rPr>
          <w:rFonts w:ascii="Arial" w:hAnsi="Arial" w:cs="Arial"/>
          <w:color w:val="000000"/>
        </w:rPr>
      </w:pPr>
    </w:p>
    <w:p w14:paraId="7F3019CB" w14:textId="371B9B14" w:rsidR="00A25486" w:rsidRPr="00045876" w:rsidRDefault="00A25486" w:rsidP="00A25486">
      <w:pPr>
        <w:spacing w:line="480" w:lineRule="auto"/>
        <w:jc w:val="both"/>
        <w:rPr>
          <w:rFonts w:ascii="Arial" w:hAnsi="Arial" w:cs="Arial"/>
          <w:color w:val="000000"/>
        </w:rPr>
      </w:pPr>
      <w:r w:rsidRPr="00045876">
        <w:rPr>
          <w:rFonts w:ascii="Arial" w:hAnsi="Arial" w:cs="Arial"/>
          <w:color w:val="000000"/>
        </w:rPr>
        <w:t xml:space="preserve">Moreover, </w:t>
      </w:r>
      <w:r w:rsidR="003079F4">
        <w:rPr>
          <w:rFonts w:ascii="Arial" w:hAnsi="Arial" w:cs="Arial"/>
          <w:color w:val="000000"/>
        </w:rPr>
        <w:t xml:space="preserve">and more critical  here, </w:t>
      </w:r>
      <w:r w:rsidRPr="00045876">
        <w:rPr>
          <w:rFonts w:ascii="Arial" w:hAnsi="Arial" w:cs="Arial"/>
          <w:color w:val="000000"/>
        </w:rPr>
        <w:t>the ultimate finding in the September 3</w:t>
      </w:r>
      <w:r w:rsidRPr="00045876">
        <w:rPr>
          <w:rFonts w:ascii="Arial" w:hAnsi="Arial" w:cs="Arial"/>
          <w:color w:val="000000"/>
          <w:vertAlign w:val="superscript"/>
        </w:rPr>
        <w:t>rd</w:t>
      </w:r>
      <w:r w:rsidRPr="00045876">
        <w:rPr>
          <w:rFonts w:ascii="Arial" w:hAnsi="Arial" w:cs="Arial"/>
          <w:color w:val="000000"/>
        </w:rPr>
        <w:t xml:space="preserve"> Order that Yusuf was entitled to seek damages for his “water” claim was not based on any alleged contract either, but on a </w:t>
      </w:r>
      <w:r w:rsidRPr="00045876">
        <w:rPr>
          <w:rFonts w:ascii="Arial" w:hAnsi="Arial" w:cs="Arial"/>
          <w:b/>
          <w:bCs/>
          <w:i/>
          <w:iCs/>
          <w:color w:val="000000"/>
          <w:u w:val="single"/>
        </w:rPr>
        <w:t>statute</w:t>
      </w:r>
      <w:r w:rsidRPr="00045876">
        <w:rPr>
          <w:rFonts w:ascii="Arial" w:hAnsi="Arial" w:cs="Arial"/>
          <w:color w:val="000000"/>
        </w:rPr>
        <w:t>, stating as follows:</w:t>
      </w:r>
    </w:p>
    <w:p w14:paraId="735A7CD3" w14:textId="77777777" w:rsidR="00A25486" w:rsidRPr="00045876" w:rsidRDefault="00A25486" w:rsidP="00A25486">
      <w:pPr>
        <w:pStyle w:val="NormalWeb"/>
        <w:spacing w:before="0" w:beforeAutospacing="0" w:after="0" w:afterAutospacing="0"/>
        <w:ind w:left="720"/>
        <w:jc w:val="both"/>
        <w:rPr>
          <w:rFonts w:ascii="Arial" w:hAnsi="Arial" w:cs="Arial"/>
        </w:rPr>
      </w:pPr>
      <w:r w:rsidRPr="00045876">
        <w:rPr>
          <w:rFonts w:ascii="Arial" w:hAnsi="Arial" w:cs="Arial"/>
          <w:lang w:val="en-029"/>
        </w:rPr>
        <w:t>In the U.S. Virgin Islands, the landlord is permitted to charge the tenant for water. Title 28 V.I.C. § 795 provides that “[n]</w:t>
      </w:r>
      <w:proofErr w:type="spellStart"/>
      <w:r w:rsidRPr="00045876">
        <w:rPr>
          <w:rFonts w:ascii="Arial" w:hAnsi="Arial" w:cs="Arial"/>
          <w:shd w:val="clear" w:color="auto" w:fill="FFFFFF"/>
          <w:lang w:val="en-029"/>
        </w:rPr>
        <w:t>othing</w:t>
      </w:r>
      <w:proofErr w:type="spellEnd"/>
      <w:r w:rsidRPr="00045876">
        <w:rPr>
          <w:rFonts w:ascii="Arial" w:hAnsi="Arial" w:cs="Arial"/>
          <w:shd w:val="clear" w:color="auto" w:fill="FFFFFF"/>
          <w:lang w:val="en-029"/>
        </w:rPr>
        <w:t xml:space="preserve"> contained in this section shall prohibit the landlord from assessing costs and charges against the tenant for water and/or electricity; provided that the tenant shall be charged based on the amount of water and/or electricity the tenant uses.</w:t>
      </w:r>
      <w:r w:rsidRPr="00045876">
        <w:rPr>
          <w:rFonts w:ascii="Arial" w:hAnsi="Arial" w:cs="Arial"/>
          <w:lang w:val="en-029"/>
        </w:rPr>
        <w:t xml:space="preserve">” </w:t>
      </w:r>
      <w:r w:rsidRPr="00045876">
        <w:rPr>
          <w:rFonts w:ascii="Arial" w:hAnsi="Arial" w:cs="Arial"/>
          <w:b/>
          <w:bCs/>
          <w:lang w:val="en-029"/>
        </w:rPr>
        <w:t xml:space="preserve">The Master interprets this statute to mean that the landlord, not the </w:t>
      </w:r>
      <w:r w:rsidRPr="00045876">
        <w:rPr>
          <w:rFonts w:ascii="Arial" w:hAnsi="Arial" w:cs="Arial"/>
          <w:b/>
          <w:bCs/>
        </w:rPr>
        <w:t>tenant, owns the water on the landlord’s property,</w:t>
      </w:r>
      <w:r w:rsidRPr="00045876">
        <w:rPr>
          <w:rFonts w:ascii="Arial" w:hAnsi="Arial" w:cs="Arial"/>
          <w:b/>
          <w:bCs/>
          <w:position w:val="8"/>
        </w:rPr>
        <w:t xml:space="preserve"> </w:t>
      </w:r>
      <w:r w:rsidRPr="00045876">
        <w:rPr>
          <w:rFonts w:ascii="Arial" w:hAnsi="Arial" w:cs="Arial"/>
          <w:b/>
          <w:bCs/>
        </w:rPr>
        <w:t>and it follows that the landlord, not the tenant, is entitled to the proceeds from the sale of such water.</w:t>
      </w:r>
      <w:r w:rsidRPr="00045876">
        <w:rPr>
          <w:rFonts w:ascii="Arial" w:hAnsi="Arial" w:cs="Arial"/>
        </w:rPr>
        <w:t xml:space="preserve"> </w:t>
      </w:r>
    </w:p>
    <w:p w14:paraId="7173A30F" w14:textId="77777777" w:rsidR="00A25486" w:rsidRPr="00045876" w:rsidRDefault="00A25486" w:rsidP="00A25486">
      <w:pPr>
        <w:pStyle w:val="NormalWeb"/>
        <w:spacing w:before="0" w:beforeAutospacing="0" w:after="0" w:afterAutospacing="0"/>
        <w:ind w:left="720"/>
        <w:jc w:val="both"/>
        <w:rPr>
          <w:rFonts w:ascii="Arial" w:hAnsi="Arial" w:cs="Arial"/>
          <w:lang w:val="en-029"/>
        </w:rPr>
      </w:pPr>
    </w:p>
    <w:p w14:paraId="7C4372C0" w14:textId="77777777" w:rsidR="00A25486" w:rsidRPr="00045876" w:rsidRDefault="00A25486" w:rsidP="00A25486">
      <w:pPr>
        <w:spacing w:line="480" w:lineRule="auto"/>
        <w:jc w:val="both"/>
        <w:rPr>
          <w:rFonts w:ascii="Arial" w:hAnsi="Arial" w:cs="Arial"/>
          <w:color w:val="000000"/>
        </w:rPr>
      </w:pPr>
      <w:r w:rsidRPr="00045876">
        <w:rPr>
          <w:rFonts w:ascii="Arial" w:hAnsi="Arial" w:cs="Arial"/>
          <w:i/>
          <w:iCs/>
          <w:color w:val="000000"/>
        </w:rPr>
        <w:t xml:space="preserve">Id. </w:t>
      </w:r>
      <w:r w:rsidRPr="00045876">
        <w:rPr>
          <w:rFonts w:ascii="Arial" w:hAnsi="Arial" w:cs="Arial"/>
          <w:color w:val="000000"/>
        </w:rPr>
        <w:t xml:space="preserve">at pp. 25-26. (Emphasis added) (Footnotes omitted). </w:t>
      </w:r>
    </w:p>
    <w:p w14:paraId="42963D24" w14:textId="16CE327D" w:rsidR="00A25486" w:rsidRPr="00045876" w:rsidRDefault="00A25486" w:rsidP="00A25486">
      <w:pPr>
        <w:spacing w:line="480" w:lineRule="auto"/>
        <w:jc w:val="both"/>
        <w:rPr>
          <w:rFonts w:ascii="Arial" w:hAnsi="Arial" w:cs="Arial"/>
          <w:color w:val="000000"/>
        </w:rPr>
      </w:pPr>
      <w:r w:rsidRPr="00045876">
        <w:rPr>
          <w:rFonts w:ascii="Arial" w:hAnsi="Arial" w:cs="Arial"/>
          <w:color w:val="000000"/>
        </w:rPr>
        <w:tab/>
        <w:t>Thus, the appropriate questions to resolve appear to be (1) what is the SOL for an action where liability is based on a statute and (2) when is that SOL triggered</w:t>
      </w:r>
      <w:r w:rsidR="003079F4">
        <w:rPr>
          <w:rFonts w:ascii="Arial" w:hAnsi="Arial" w:cs="Arial"/>
          <w:color w:val="000000"/>
        </w:rPr>
        <w:t xml:space="preserve"> in such an action</w:t>
      </w:r>
      <w:r w:rsidRPr="00045876">
        <w:rPr>
          <w:rFonts w:ascii="Arial" w:hAnsi="Arial" w:cs="Arial"/>
          <w:color w:val="000000"/>
        </w:rPr>
        <w:t xml:space="preserve">? The first answer is easy, as an action based on a liability created by statute is six years. </w:t>
      </w:r>
      <w:r w:rsidRPr="00045876">
        <w:rPr>
          <w:rFonts w:ascii="Arial" w:hAnsi="Arial" w:cs="Arial"/>
          <w:i/>
          <w:iCs/>
          <w:color w:val="000000"/>
        </w:rPr>
        <w:t xml:space="preserve">See </w:t>
      </w:r>
      <w:r w:rsidRPr="00045876">
        <w:rPr>
          <w:rFonts w:ascii="Arial" w:hAnsi="Arial" w:cs="Arial"/>
          <w:color w:val="000000"/>
        </w:rPr>
        <w:t>5 V.I.C. §31(3)(B).</w:t>
      </w:r>
    </w:p>
    <w:p w14:paraId="633A4B0B" w14:textId="2B16C7D5" w:rsidR="006F31F8" w:rsidRDefault="00A25486" w:rsidP="006F31F8">
      <w:pPr>
        <w:spacing w:line="480" w:lineRule="auto"/>
        <w:ind w:firstLine="720"/>
        <w:jc w:val="both"/>
        <w:rPr>
          <w:rFonts w:ascii="Arial" w:hAnsi="Arial" w:cs="Arial"/>
          <w:color w:val="000000"/>
        </w:rPr>
      </w:pPr>
      <w:r w:rsidRPr="00045876">
        <w:rPr>
          <w:rFonts w:ascii="Arial" w:hAnsi="Arial" w:cs="Arial"/>
          <w:color w:val="000000"/>
        </w:rPr>
        <w:t xml:space="preserve">The Banks analysis of the issue of when the statute of limitations begins to run </w:t>
      </w:r>
      <w:r w:rsidRPr="00045876">
        <w:rPr>
          <w:rFonts w:ascii="Arial" w:hAnsi="Arial" w:cs="Arial"/>
          <w:i/>
          <w:iCs/>
          <w:color w:val="000000"/>
        </w:rPr>
        <w:t>on a liability created by a statute</w:t>
      </w:r>
      <w:r w:rsidRPr="00045876">
        <w:rPr>
          <w:rFonts w:ascii="Arial" w:hAnsi="Arial" w:cs="Arial"/>
          <w:color w:val="000000"/>
        </w:rPr>
        <w:t xml:space="preserve"> is seemingly very brief.  There are almost no </w:t>
      </w:r>
      <w:r w:rsidR="003079F4">
        <w:rPr>
          <w:rFonts w:ascii="Arial" w:hAnsi="Arial" w:cs="Arial"/>
          <w:color w:val="000000"/>
        </w:rPr>
        <w:t xml:space="preserve">modern </w:t>
      </w:r>
      <w:r w:rsidRPr="00045876">
        <w:rPr>
          <w:rFonts w:ascii="Arial" w:hAnsi="Arial" w:cs="Arial"/>
          <w:color w:val="000000"/>
        </w:rPr>
        <w:t>cases on the issue—perhaps because one of the few courts to address the issue makes it clear that this is unequivocal, and based on a citation to the U.S. Supreme Court:</w:t>
      </w:r>
    </w:p>
    <w:p w14:paraId="777F6499" w14:textId="083421E2" w:rsidR="006F31F8" w:rsidRPr="00CF257A" w:rsidRDefault="006F31F8" w:rsidP="006F31F8">
      <w:pPr>
        <w:ind w:left="720"/>
        <w:jc w:val="both"/>
        <w:rPr>
          <w:rFonts w:ascii="Arial" w:hAnsi="Arial" w:cs="Arial"/>
        </w:rPr>
      </w:pPr>
      <w:r w:rsidRPr="00CF257A">
        <w:rPr>
          <w:rFonts w:ascii="Arial" w:hAnsi="Arial" w:cs="Arial"/>
        </w:rPr>
        <w:t>In reaffirming the Country Court holding today, a reiteration of a few salient points is appropriate. First, this court has remained mindful of the generally accepted law that a cause of action arising from a statue accrues and the period specified in the statute of limitations begins to run when the violation giving rise to the liability occurs. See </w:t>
      </w:r>
      <w:r w:rsidRPr="00226FBD">
        <w:rPr>
          <w:rFonts w:ascii="Arial" w:hAnsi="Arial" w:cs="Arial"/>
          <w:i/>
          <w:iCs/>
        </w:rPr>
        <w:t>Unexcelled Chemical Corp. </w:t>
      </w:r>
      <w:proofErr w:type="gramStart"/>
      <w:r w:rsidRPr="00226FBD">
        <w:rPr>
          <w:rFonts w:ascii="Arial" w:hAnsi="Arial" w:cs="Arial"/>
          <w:i/>
          <w:iCs/>
        </w:rPr>
        <w:t>v..</w:t>
      </w:r>
      <w:proofErr w:type="gramEnd"/>
      <w:r w:rsidRPr="00226FBD">
        <w:rPr>
          <w:rFonts w:ascii="Arial" w:hAnsi="Arial" w:cs="Arial"/>
          <w:i/>
          <w:iCs/>
        </w:rPr>
        <w:t xml:space="preserve"> United States</w:t>
      </w:r>
      <w:r w:rsidRPr="00CF257A">
        <w:rPr>
          <w:rFonts w:ascii="Arial" w:hAnsi="Arial" w:cs="Arial"/>
        </w:rPr>
        <w:t xml:space="preserve"> (1953), 345 U.S. 59, </w:t>
      </w:r>
      <w:proofErr w:type="gramStart"/>
      <w:r w:rsidRPr="00CF257A">
        <w:rPr>
          <w:rFonts w:ascii="Arial" w:hAnsi="Arial" w:cs="Arial"/>
        </w:rPr>
        <w:t>65.(</w:t>
      </w:r>
      <w:proofErr w:type="gramEnd"/>
      <w:r w:rsidRPr="00CF257A">
        <w:rPr>
          <w:rFonts w:ascii="Arial" w:hAnsi="Arial" w:cs="Arial"/>
        </w:rPr>
        <w:t>Emphasis added.)</w:t>
      </w:r>
    </w:p>
    <w:p w14:paraId="6D433E69" w14:textId="77777777" w:rsidR="006F31F8" w:rsidRPr="00CF257A" w:rsidRDefault="006F31F8" w:rsidP="006F31F8">
      <w:pPr>
        <w:rPr>
          <w:rFonts w:ascii="Arial" w:hAnsi="Arial" w:cs="Arial"/>
        </w:rPr>
      </w:pPr>
    </w:p>
    <w:p w14:paraId="47BE33A9" w14:textId="5C11C987" w:rsidR="006F31F8" w:rsidRPr="00CF257A" w:rsidRDefault="006F31F8" w:rsidP="006F31F8">
      <w:pPr>
        <w:spacing w:line="480" w:lineRule="auto"/>
        <w:jc w:val="both"/>
        <w:rPr>
          <w:rFonts w:ascii="Arial" w:hAnsi="Arial" w:cs="Arial"/>
        </w:rPr>
      </w:pPr>
      <w:r w:rsidRPr="003079F4">
        <w:rPr>
          <w:rFonts w:ascii="Arial" w:hAnsi="Arial" w:cs="Arial"/>
          <w:i/>
          <w:iCs/>
        </w:rPr>
        <w:lastRenderedPageBreak/>
        <w:t>Zion Nursing Home, Inc. v. Creasy</w:t>
      </w:r>
      <w:r w:rsidRPr="00CF257A">
        <w:rPr>
          <w:rFonts w:ascii="Arial" w:hAnsi="Arial" w:cs="Arial"/>
        </w:rPr>
        <w:t xml:space="preserve">, 6 Ohio St. 3d 221, 224, 452 N.E.2d 1272, 1275 (1983). In the Supreme Court decision cited, the respondents </w:t>
      </w:r>
      <w:r w:rsidR="003079F4">
        <w:rPr>
          <w:rFonts w:ascii="Arial" w:hAnsi="Arial" w:cs="Arial"/>
        </w:rPr>
        <w:t xml:space="preserve">made an argument which is analogous to the </w:t>
      </w:r>
      <w:r w:rsidRPr="00CF257A">
        <w:rPr>
          <w:rFonts w:ascii="Arial" w:hAnsi="Arial" w:cs="Arial"/>
        </w:rPr>
        <w:t xml:space="preserve">Yusuf/United </w:t>
      </w:r>
      <w:r w:rsidR="003079F4">
        <w:rPr>
          <w:rFonts w:ascii="Arial" w:hAnsi="Arial" w:cs="Arial"/>
        </w:rPr>
        <w:t>position</w:t>
      </w:r>
      <w:r w:rsidRPr="00CF257A">
        <w:rPr>
          <w:rFonts w:ascii="Arial" w:hAnsi="Arial" w:cs="Arial"/>
        </w:rPr>
        <w:t xml:space="preserve"> here: </w:t>
      </w:r>
    </w:p>
    <w:p w14:paraId="66D0BB6D" w14:textId="77777777" w:rsidR="006F31F8" w:rsidRPr="00CF257A" w:rsidRDefault="006F31F8" w:rsidP="006F31F8">
      <w:pPr>
        <w:ind w:left="720"/>
        <w:jc w:val="both"/>
        <w:rPr>
          <w:rFonts w:ascii="Arial" w:hAnsi="Arial" w:cs="Arial"/>
        </w:rPr>
      </w:pPr>
      <w:r w:rsidRPr="00CF257A">
        <w:rPr>
          <w:rFonts w:ascii="Arial" w:hAnsi="Arial" w:cs="Arial"/>
        </w:rPr>
        <w:t xml:space="preserve">Respondent argues that even if this cause of action is subject to the two-year statute of limitations contained in § 6 of the Portal-to-Portal Act, the present suit was timely. The contention is that the cause of action accrues, and the two-year period begins to run, only after it is administratively determined by the Department of </w:t>
      </w:r>
      <w:proofErr w:type="spellStart"/>
      <w:r w:rsidRPr="00CF257A">
        <w:rPr>
          <w:rFonts w:ascii="Arial" w:hAnsi="Arial" w:cs="Arial"/>
        </w:rPr>
        <w:t>Labor</w:t>
      </w:r>
      <w:proofErr w:type="spellEnd"/>
      <w:r w:rsidRPr="00CF257A">
        <w:rPr>
          <w:rFonts w:ascii="Arial" w:hAnsi="Arial" w:cs="Arial"/>
        </w:rPr>
        <w:t xml:space="preserve"> that the contractor is liable to the United States for liquidated damages.</w:t>
      </w:r>
    </w:p>
    <w:p w14:paraId="70B3270D" w14:textId="77777777" w:rsidR="006F31F8" w:rsidRPr="00CF257A" w:rsidRDefault="006F31F8" w:rsidP="006F31F8">
      <w:pPr>
        <w:rPr>
          <w:rFonts w:ascii="Arial" w:hAnsi="Arial" w:cs="Arial"/>
        </w:rPr>
      </w:pPr>
      <w:r w:rsidRPr="00CF257A">
        <w:rPr>
          <w:rFonts w:ascii="Arial" w:hAnsi="Arial" w:cs="Arial"/>
        </w:rPr>
        <w:t> </w:t>
      </w:r>
    </w:p>
    <w:p w14:paraId="23EE117D" w14:textId="77777777" w:rsidR="006F31F8" w:rsidRPr="00CF257A" w:rsidRDefault="006F31F8" w:rsidP="006F31F8">
      <w:pPr>
        <w:rPr>
          <w:rFonts w:ascii="Arial" w:hAnsi="Arial" w:cs="Arial"/>
        </w:rPr>
      </w:pPr>
      <w:r w:rsidRPr="00C56FC8">
        <w:rPr>
          <w:rFonts w:ascii="Arial" w:hAnsi="Arial" w:cs="Arial"/>
          <w:i/>
          <w:iCs/>
        </w:rPr>
        <w:t>Id</w:t>
      </w:r>
      <w:r w:rsidRPr="00CF257A">
        <w:rPr>
          <w:rFonts w:ascii="Arial" w:hAnsi="Arial" w:cs="Arial"/>
        </w:rPr>
        <w:t>. at 65.  The U.S. Supreme Court, however, rejected this argument, holding:</w:t>
      </w:r>
    </w:p>
    <w:p w14:paraId="7F21B44F" w14:textId="77777777" w:rsidR="006F31F8" w:rsidRPr="00CF257A" w:rsidRDefault="006F31F8" w:rsidP="006F31F8">
      <w:pPr>
        <w:rPr>
          <w:rFonts w:ascii="Arial" w:hAnsi="Arial" w:cs="Arial"/>
        </w:rPr>
      </w:pPr>
    </w:p>
    <w:p w14:paraId="4B0F3AFA" w14:textId="77777777" w:rsidR="006F31F8" w:rsidRPr="00CF257A" w:rsidRDefault="006F31F8" w:rsidP="006F31F8">
      <w:pPr>
        <w:ind w:left="720"/>
        <w:jc w:val="both"/>
        <w:rPr>
          <w:rFonts w:ascii="Arial" w:hAnsi="Arial" w:cs="Arial"/>
        </w:rPr>
      </w:pPr>
      <w:r w:rsidRPr="00CF257A">
        <w:rPr>
          <w:rFonts w:ascii="Arial" w:hAnsi="Arial" w:cs="Arial"/>
        </w:rPr>
        <w:t>We conclude that "the cause of action accrued," within the meaning of § 6 of the Portal-to-Portal Act, when the minors were employed</w:t>
      </w:r>
      <w:proofErr w:type="gramStart"/>
      <w:r w:rsidRPr="00CF257A">
        <w:rPr>
          <w:rFonts w:ascii="Arial" w:hAnsi="Arial" w:cs="Arial"/>
        </w:rPr>
        <w:t>. . . .</w:t>
      </w:r>
      <w:proofErr w:type="gramEnd"/>
      <w:r w:rsidRPr="00CF257A">
        <w:rPr>
          <w:rFonts w:ascii="Arial" w:hAnsi="Arial" w:cs="Arial"/>
        </w:rPr>
        <w:t> A cause of action is created when there is a breach of duty owed the plaintiff. It is that breach of duty, not its discovery, that normally is controlling. </w:t>
      </w:r>
    </w:p>
    <w:p w14:paraId="22566176" w14:textId="77777777" w:rsidR="006F31F8" w:rsidRPr="00CF257A" w:rsidRDefault="006F31F8" w:rsidP="006F31F8">
      <w:pPr>
        <w:rPr>
          <w:rFonts w:ascii="Arial" w:hAnsi="Arial" w:cs="Arial"/>
        </w:rPr>
      </w:pPr>
    </w:p>
    <w:p w14:paraId="66E5C122" w14:textId="69615630" w:rsidR="006F31F8" w:rsidRPr="00CF257A" w:rsidRDefault="006F31F8" w:rsidP="006F31F8">
      <w:pPr>
        <w:spacing w:line="480" w:lineRule="auto"/>
        <w:jc w:val="both"/>
        <w:rPr>
          <w:rFonts w:ascii="Arial" w:hAnsi="Arial" w:cs="Arial"/>
        </w:rPr>
      </w:pPr>
      <w:r w:rsidRPr="00C56FC8">
        <w:rPr>
          <w:rFonts w:ascii="Arial" w:hAnsi="Arial" w:cs="Arial"/>
          <w:i/>
          <w:iCs/>
        </w:rPr>
        <w:t>Id</w:t>
      </w:r>
      <w:r w:rsidRPr="00CF257A">
        <w:rPr>
          <w:rFonts w:ascii="Arial" w:hAnsi="Arial" w:cs="Arial"/>
        </w:rPr>
        <w:t xml:space="preserve">. This statement, perhaps, explains the lack of cross-jurisdictional alternative views on this issue.  In any event, Hamed cannot locate other cases on this issue. Thus, it is respectfully suggested this is not only the best rule for the Virgin Islands, but, more accurately, the only </w:t>
      </w:r>
      <w:r w:rsidR="00C56FC8">
        <w:rPr>
          <w:rFonts w:ascii="Arial" w:hAnsi="Arial" w:cs="Arial"/>
        </w:rPr>
        <w:t xml:space="preserve">applicable </w:t>
      </w:r>
      <w:r w:rsidRPr="00CF257A">
        <w:rPr>
          <w:rFonts w:ascii="Arial" w:hAnsi="Arial" w:cs="Arial"/>
        </w:rPr>
        <w:t>formulation.</w:t>
      </w:r>
    </w:p>
    <w:p w14:paraId="172F2A51" w14:textId="77777777" w:rsidR="006F31F8" w:rsidRPr="00CF257A" w:rsidRDefault="006F31F8" w:rsidP="006F31F8">
      <w:pPr>
        <w:spacing w:line="480" w:lineRule="auto"/>
        <w:ind w:firstLine="720"/>
        <w:jc w:val="both"/>
        <w:rPr>
          <w:rFonts w:ascii="Arial" w:hAnsi="Arial" w:cs="Arial"/>
        </w:rPr>
      </w:pPr>
      <w:r w:rsidRPr="00CF257A">
        <w:rPr>
          <w:rFonts w:ascii="Arial" w:hAnsi="Arial" w:cs="Arial"/>
        </w:rPr>
        <w:t>In short, the answer to the second question—when does the SOL begin to accrue on liability created by statute---is when the liability was incurred. Here, that is when the tenant, the partnership, used the water in question. Moreover, the landlord, United, certainly was aware of the tenant’s use of the water as it was taken, as noted on page 24 of the September 3rd Order:</w:t>
      </w:r>
    </w:p>
    <w:p w14:paraId="07772DA9" w14:textId="77777777" w:rsidR="006F31F8" w:rsidRPr="00CF257A" w:rsidRDefault="006F31F8" w:rsidP="006F31F8">
      <w:pPr>
        <w:ind w:left="720"/>
        <w:jc w:val="both"/>
        <w:rPr>
          <w:rFonts w:ascii="Arial" w:hAnsi="Arial" w:cs="Arial"/>
        </w:rPr>
      </w:pPr>
      <w:r w:rsidRPr="00CF257A">
        <w:rPr>
          <w:rFonts w:ascii="Arial" w:hAnsi="Arial" w:cs="Arial"/>
        </w:rPr>
        <w:t xml:space="preserve">The evidence demonstrates that the Partnership intentionally exercised of dominion or control over the Water Proceeds and seriously interfered with the right of United to control the Water Proceeds—to wit, it is undisputed that (i) The Partnership’s accounting employees handled any money collected from the water sales and deposited said money into the Partnership account (Hamed’s CSOF ¶¶ 18-19); (ii) The money collected from the water sales were commingled with the Partnership’s daily proceeds from Plaza Extra-East sales (Hamed’s CSOF ¶ 21); . . . . (iv) Each year from 2004 until the dissolution of the Partnership in 2015, the Partnership paid the income taxes each year on the total annual income, which would have included the profit from the water sales, if any (Hamed’s CSOF ¶ 23); </w:t>
      </w:r>
    </w:p>
    <w:p w14:paraId="021F63C5" w14:textId="77777777" w:rsidR="006F31F8" w:rsidRPr="00CF257A" w:rsidRDefault="006F31F8" w:rsidP="006F31F8">
      <w:pPr>
        <w:rPr>
          <w:rFonts w:ascii="Arial" w:hAnsi="Arial" w:cs="Arial"/>
        </w:rPr>
      </w:pPr>
    </w:p>
    <w:p w14:paraId="5E3F48E0" w14:textId="29E74EB1" w:rsidR="00A25486" w:rsidRPr="00045876" w:rsidRDefault="00A25486" w:rsidP="00C56FC8">
      <w:pPr>
        <w:spacing w:line="480" w:lineRule="auto"/>
        <w:jc w:val="both"/>
        <w:outlineLvl w:val="0"/>
        <w:rPr>
          <w:rFonts w:ascii="Arial" w:hAnsi="Arial" w:cs="Arial"/>
          <w:color w:val="000000"/>
        </w:rPr>
      </w:pPr>
      <w:r w:rsidRPr="00045876">
        <w:rPr>
          <w:rFonts w:ascii="Arial" w:hAnsi="Arial" w:cs="Arial"/>
          <w:color w:val="000000"/>
        </w:rPr>
        <w:lastRenderedPageBreak/>
        <w:t xml:space="preserve">Of course, the referenced accounting records and tax returns were </w:t>
      </w:r>
      <w:proofErr w:type="gramStart"/>
      <w:r w:rsidRPr="00045876">
        <w:rPr>
          <w:rFonts w:ascii="Arial" w:hAnsi="Arial" w:cs="Arial"/>
          <w:color w:val="000000"/>
        </w:rPr>
        <w:t>actually United’s</w:t>
      </w:r>
      <w:proofErr w:type="gramEnd"/>
      <w:r w:rsidRPr="00045876">
        <w:rPr>
          <w:rFonts w:ascii="Arial" w:hAnsi="Arial" w:cs="Arial"/>
          <w:color w:val="000000"/>
        </w:rPr>
        <w:t xml:space="preserve"> own records and tax return</w:t>
      </w:r>
      <w:r w:rsidR="00C56FC8">
        <w:rPr>
          <w:rFonts w:ascii="Arial" w:hAnsi="Arial" w:cs="Arial"/>
          <w:color w:val="000000"/>
        </w:rPr>
        <w:t xml:space="preserve">s. </w:t>
      </w:r>
      <w:r w:rsidRPr="00045876">
        <w:rPr>
          <w:rFonts w:ascii="Arial" w:hAnsi="Arial" w:cs="Arial"/>
          <w:color w:val="000000"/>
        </w:rPr>
        <w:t xml:space="preserve">In short, United was on notice of the partnership using its water in 2004, and every year thereafter, as it was being used. </w:t>
      </w:r>
    </w:p>
    <w:p w14:paraId="3CDBA75F" w14:textId="77777777" w:rsidR="00A25486" w:rsidRPr="00045876" w:rsidRDefault="00A25486" w:rsidP="00A25486">
      <w:pPr>
        <w:spacing w:line="480" w:lineRule="auto"/>
        <w:ind w:firstLine="720"/>
        <w:jc w:val="both"/>
        <w:rPr>
          <w:rFonts w:ascii="Arial" w:hAnsi="Arial" w:cs="Arial"/>
          <w:color w:val="000000"/>
        </w:rPr>
      </w:pPr>
      <w:r w:rsidRPr="00045876">
        <w:rPr>
          <w:rFonts w:ascii="Arial" w:hAnsi="Arial" w:cs="Arial"/>
          <w:color w:val="000000"/>
        </w:rPr>
        <w:t xml:space="preserve">As such, the SOL began to run on Yusuf’s statutory rights each time the water was taken and used by the partnership. Thus, applying this </w:t>
      </w:r>
      <w:proofErr w:type="gramStart"/>
      <w:r w:rsidRPr="00045876">
        <w:rPr>
          <w:rFonts w:ascii="Arial" w:hAnsi="Arial" w:cs="Arial"/>
          <w:color w:val="000000"/>
        </w:rPr>
        <w:t>six year</w:t>
      </w:r>
      <w:proofErr w:type="gramEnd"/>
      <w:r w:rsidRPr="00045876">
        <w:rPr>
          <w:rFonts w:ascii="Arial" w:hAnsi="Arial" w:cs="Arial"/>
          <w:color w:val="000000"/>
        </w:rPr>
        <w:t xml:space="preserve"> SOL to the date this “water” claim was first asserted on September 30, 2016, any “water” claims prior to September 30, 2010, are time barred.</w:t>
      </w:r>
    </w:p>
    <w:p w14:paraId="51B0B3DD" w14:textId="77777777" w:rsidR="00A25486" w:rsidRPr="00045876" w:rsidRDefault="00A25486" w:rsidP="00A25486">
      <w:pPr>
        <w:shd w:val="clear" w:color="auto" w:fill="FFFFFF"/>
        <w:spacing w:line="480" w:lineRule="auto"/>
        <w:ind w:firstLine="720"/>
        <w:jc w:val="both"/>
        <w:textAlignment w:val="baseline"/>
        <w:outlineLvl w:val="0"/>
        <w:rPr>
          <w:rFonts w:ascii="Arial" w:hAnsi="Arial" w:cs="Arial"/>
          <w:color w:val="000000"/>
        </w:rPr>
      </w:pPr>
      <w:r w:rsidRPr="00045876">
        <w:rPr>
          <w:rFonts w:ascii="Arial" w:hAnsi="Arial" w:cs="Arial"/>
          <w:color w:val="000000"/>
        </w:rPr>
        <w:t xml:space="preserve">The same analysis applies to the conversion claim that is subject to a six year SOL pursuant to 5 V.I.C. § 31(3)(D), as United was clearly aware of this alleged conversion of its “chattel”—its water--in 2004, so that any “water” claims prior to September 30, 2010 are also time barred. </w:t>
      </w:r>
    </w:p>
    <w:p w14:paraId="66AFC07E" w14:textId="4B592B41" w:rsidR="006F31F8" w:rsidRPr="00535DED" w:rsidRDefault="00A25486" w:rsidP="00535DED">
      <w:pPr>
        <w:shd w:val="clear" w:color="auto" w:fill="FFFFFF"/>
        <w:spacing w:line="480" w:lineRule="auto"/>
        <w:ind w:firstLine="720"/>
        <w:jc w:val="both"/>
        <w:textAlignment w:val="baseline"/>
        <w:outlineLvl w:val="0"/>
        <w:rPr>
          <w:rFonts w:ascii="Arial" w:hAnsi="Arial" w:cs="Arial"/>
          <w:color w:val="000000"/>
        </w:rPr>
      </w:pPr>
      <w:r w:rsidRPr="00045876">
        <w:rPr>
          <w:rFonts w:ascii="Arial" w:hAnsi="Arial" w:cs="Arial"/>
          <w:color w:val="000000"/>
        </w:rPr>
        <w:t xml:space="preserve">Finally, as this liability is based on a statute, and not on any conversations that Yusuf had with Hamed, there are no representations involved, much less misrepresentations, and no reliance on any such statements either—meaning there cannot be any equitable tolling of the SOL for this liability based on a statute. </w:t>
      </w:r>
    </w:p>
    <w:p w14:paraId="72FF5A37" w14:textId="77777777" w:rsidR="00A25486" w:rsidRPr="00045876" w:rsidRDefault="00A25486" w:rsidP="00A25486">
      <w:pPr>
        <w:pStyle w:val="ListParagraph"/>
        <w:numPr>
          <w:ilvl w:val="0"/>
          <w:numId w:val="1"/>
        </w:numPr>
        <w:spacing w:after="0" w:line="480" w:lineRule="auto"/>
        <w:jc w:val="both"/>
        <w:outlineLvl w:val="0"/>
        <w:rPr>
          <w:rFonts w:ascii="Arial" w:hAnsi="Arial" w:cs="Arial"/>
          <w:b/>
          <w:bCs/>
          <w:sz w:val="24"/>
          <w:szCs w:val="24"/>
        </w:rPr>
      </w:pPr>
      <w:r w:rsidRPr="00045876">
        <w:rPr>
          <w:rFonts w:ascii="Arial" w:hAnsi="Arial" w:cs="Arial"/>
          <w:b/>
          <w:bCs/>
          <w:sz w:val="24"/>
          <w:szCs w:val="24"/>
        </w:rPr>
        <w:t>Conclusion</w:t>
      </w:r>
    </w:p>
    <w:p w14:paraId="4934EDDD" w14:textId="77777777" w:rsidR="00A25486" w:rsidRPr="00045876" w:rsidRDefault="00A25486" w:rsidP="00A25486">
      <w:pPr>
        <w:spacing w:line="480" w:lineRule="auto"/>
        <w:ind w:firstLine="720"/>
        <w:jc w:val="both"/>
        <w:rPr>
          <w:rFonts w:ascii="Arial" w:hAnsi="Arial" w:cs="Arial"/>
          <w:bCs/>
        </w:rPr>
      </w:pPr>
      <w:r w:rsidRPr="00045876">
        <w:rPr>
          <w:rFonts w:ascii="Arial" w:hAnsi="Arial" w:cs="Arial"/>
          <w:bCs/>
        </w:rPr>
        <w:t xml:space="preserve">For the reasons set forth herein, it is respectfully submitted as follows: </w:t>
      </w:r>
    </w:p>
    <w:p w14:paraId="0E9607D6" w14:textId="77777777" w:rsidR="00A25486" w:rsidRPr="00045876" w:rsidRDefault="00A25486" w:rsidP="00A25486">
      <w:pPr>
        <w:pStyle w:val="ListParagraph"/>
        <w:numPr>
          <w:ilvl w:val="0"/>
          <w:numId w:val="3"/>
        </w:numPr>
        <w:spacing w:after="0" w:line="240" w:lineRule="auto"/>
        <w:ind w:left="1080"/>
        <w:jc w:val="both"/>
        <w:rPr>
          <w:rFonts w:ascii="Arial" w:hAnsi="Arial" w:cs="Arial"/>
          <w:bCs/>
          <w:sz w:val="24"/>
          <w:szCs w:val="24"/>
        </w:rPr>
      </w:pPr>
      <w:r w:rsidRPr="00045876">
        <w:rPr>
          <w:rFonts w:ascii="Arial" w:hAnsi="Arial" w:cs="Arial"/>
          <w:bCs/>
          <w:sz w:val="24"/>
          <w:szCs w:val="24"/>
        </w:rPr>
        <w:t>the question to what constitutes the elements of restitution are those set forth in United’s October 15</w:t>
      </w:r>
      <w:r w:rsidRPr="00045876">
        <w:rPr>
          <w:rFonts w:ascii="Arial" w:hAnsi="Arial" w:cs="Arial"/>
          <w:bCs/>
          <w:sz w:val="24"/>
          <w:szCs w:val="24"/>
          <w:vertAlign w:val="superscript"/>
        </w:rPr>
        <w:t>th</w:t>
      </w:r>
      <w:r w:rsidRPr="00045876">
        <w:rPr>
          <w:rFonts w:ascii="Arial" w:hAnsi="Arial" w:cs="Arial"/>
          <w:bCs/>
          <w:sz w:val="24"/>
          <w:szCs w:val="24"/>
        </w:rPr>
        <w:t xml:space="preserve"> filing subject to the Special Master determining whether the “knowledge” element still needs to be added to satisfy the “deterrence” factor discussed in </w:t>
      </w:r>
      <w:r w:rsidRPr="00045876">
        <w:rPr>
          <w:rFonts w:ascii="Arial" w:hAnsi="Arial" w:cs="Arial"/>
          <w:bCs/>
          <w:i/>
          <w:iCs/>
          <w:sz w:val="24"/>
          <w:szCs w:val="24"/>
        </w:rPr>
        <w:t>Walters</w:t>
      </w:r>
      <w:r w:rsidRPr="00045876">
        <w:rPr>
          <w:rFonts w:ascii="Arial" w:hAnsi="Arial" w:cs="Arial"/>
          <w:bCs/>
          <w:sz w:val="24"/>
          <w:szCs w:val="24"/>
        </w:rPr>
        <w:t>; and</w:t>
      </w:r>
    </w:p>
    <w:p w14:paraId="2CB75A56" w14:textId="77777777" w:rsidR="00A25486" w:rsidRPr="00045876" w:rsidRDefault="00A25486" w:rsidP="00A25486">
      <w:pPr>
        <w:pStyle w:val="ListParagraph"/>
        <w:spacing w:after="0" w:line="240" w:lineRule="auto"/>
        <w:ind w:left="1080"/>
        <w:jc w:val="both"/>
        <w:rPr>
          <w:rFonts w:ascii="Arial" w:hAnsi="Arial" w:cs="Arial"/>
          <w:bCs/>
          <w:sz w:val="24"/>
          <w:szCs w:val="24"/>
        </w:rPr>
      </w:pPr>
    </w:p>
    <w:p w14:paraId="1111548F" w14:textId="77777777" w:rsidR="00A25486" w:rsidRPr="00045876" w:rsidRDefault="00A25486" w:rsidP="00A25486">
      <w:pPr>
        <w:pStyle w:val="ListParagraph"/>
        <w:numPr>
          <w:ilvl w:val="0"/>
          <w:numId w:val="3"/>
        </w:numPr>
        <w:spacing w:after="0" w:line="240" w:lineRule="auto"/>
        <w:ind w:left="1080"/>
        <w:jc w:val="both"/>
        <w:rPr>
          <w:rFonts w:ascii="Arial" w:hAnsi="Arial" w:cs="Arial"/>
          <w:bCs/>
          <w:sz w:val="24"/>
          <w:szCs w:val="24"/>
        </w:rPr>
      </w:pPr>
      <w:r w:rsidRPr="00045876">
        <w:rPr>
          <w:rFonts w:ascii="Arial" w:hAnsi="Arial" w:cs="Arial"/>
          <w:bCs/>
          <w:sz w:val="24"/>
          <w:szCs w:val="24"/>
        </w:rPr>
        <w:t>the question as to when the SOL begins to accrue depends on the nature of the claim, so that even though an equitable “contract” claims would begin to accrue when a demand was first made (and refused), the September 3</w:t>
      </w:r>
      <w:r w:rsidRPr="00045876">
        <w:rPr>
          <w:rFonts w:ascii="Arial" w:hAnsi="Arial" w:cs="Arial"/>
          <w:bCs/>
          <w:sz w:val="24"/>
          <w:szCs w:val="24"/>
          <w:vertAlign w:val="superscript"/>
        </w:rPr>
        <w:t>rd</w:t>
      </w:r>
      <w:r w:rsidRPr="00045876">
        <w:rPr>
          <w:rFonts w:ascii="Arial" w:hAnsi="Arial" w:cs="Arial"/>
          <w:bCs/>
          <w:sz w:val="24"/>
          <w:szCs w:val="24"/>
        </w:rPr>
        <w:t xml:space="preserve"> opinion based the partnership’s liability on a statute that accrues as the water is taken, so any claims prior to September 30, 2010, are time barred; and </w:t>
      </w:r>
    </w:p>
    <w:p w14:paraId="60E5B815" w14:textId="77777777" w:rsidR="00A25486" w:rsidRPr="00045876" w:rsidRDefault="00A25486" w:rsidP="00A25486">
      <w:pPr>
        <w:jc w:val="both"/>
        <w:rPr>
          <w:rFonts w:ascii="Arial" w:hAnsi="Arial" w:cs="Arial"/>
          <w:bCs/>
        </w:rPr>
      </w:pPr>
    </w:p>
    <w:p w14:paraId="67D3D811" w14:textId="77777777" w:rsidR="00A25486" w:rsidRPr="00045876" w:rsidRDefault="00A25486" w:rsidP="00A25486">
      <w:pPr>
        <w:pStyle w:val="ListParagraph"/>
        <w:numPr>
          <w:ilvl w:val="0"/>
          <w:numId w:val="3"/>
        </w:numPr>
        <w:spacing w:after="0" w:line="240" w:lineRule="auto"/>
        <w:ind w:left="1080"/>
        <w:jc w:val="both"/>
        <w:rPr>
          <w:rFonts w:ascii="Arial" w:hAnsi="Arial" w:cs="Arial"/>
          <w:bCs/>
          <w:sz w:val="24"/>
          <w:szCs w:val="24"/>
        </w:rPr>
      </w:pPr>
      <w:r w:rsidRPr="00045876">
        <w:rPr>
          <w:rFonts w:ascii="Arial" w:hAnsi="Arial" w:cs="Arial"/>
          <w:bCs/>
          <w:sz w:val="24"/>
          <w:szCs w:val="24"/>
        </w:rPr>
        <w:t>there can be no equitable tolling for a SOL based upon a liability created by statute.</w:t>
      </w:r>
    </w:p>
    <w:p w14:paraId="6216D3F0" w14:textId="77777777" w:rsidR="00535DED" w:rsidRDefault="00A25486" w:rsidP="00A25486">
      <w:pPr>
        <w:ind w:firstLine="720"/>
        <w:rPr>
          <w:rFonts w:ascii="Arial" w:hAnsi="Arial" w:cs="Arial"/>
          <w:b/>
        </w:rPr>
      </w:pPr>
      <w:r w:rsidRPr="00045876">
        <w:rPr>
          <w:rFonts w:ascii="Arial" w:hAnsi="Arial" w:cs="Arial"/>
          <w:b/>
        </w:rPr>
        <w:t xml:space="preserve"> </w:t>
      </w:r>
      <w:r w:rsidRPr="00045876">
        <w:rPr>
          <w:rFonts w:ascii="Arial" w:hAnsi="Arial" w:cs="Arial"/>
          <w:b/>
        </w:rPr>
        <w:tab/>
      </w:r>
      <w:r w:rsidRPr="00045876">
        <w:rPr>
          <w:rFonts w:ascii="Arial" w:hAnsi="Arial" w:cs="Arial"/>
          <w:b/>
        </w:rPr>
        <w:tab/>
      </w:r>
    </w:p>
    <w:p w14:paraId="0DA8FD42" w14:textId="77777777" w:rsidR="00535DED" w:rsidRDefault="00A25486" w:rsidP="00A25486">
      <w:pPr>
        <w:ind w:firstLine="720"/>
        <w:rPr>
          <w:rFonts w:ascii="Arial" w:hAnsi="Arial" w:cs="Arial"/>
          <w:b/>
        </w:rPr>
      </w:pPr>
      <w:r w:rsidRPr="00045876">
        <w:rPr>
          <w:rFonts w:ascii="Arial" w:hAnsi="Arial" w:cs="Arial"/>
          <w:b/>
        </w:rPr>
        <w:lastRenderedPageBreak/>
        <w:tab/>
      </w:r>
      <w:r w:rsidRPr="00045876">
        <w:rPr>
          <w:rFonts w:ascii="Arial" w:hAnsi="Arial" w:cs="Arial"/>
          <w:b/>
        </w:rPr>
        <w:tab/>
      </w:r>
      <w:r w:rsidRPr="00045876">
        <w:rPr>
          <w:rFonts w:ascii="Arial" w:hAnsi="Arial" w:cs="Arial"/>
          <w:b/>
        </w:rPr>
        <w:tab/>
      </w:r>
      <w:r w:rsidRPr="00045876">
        <w:rPr>
          <w:rFonts w:ascii="Arial" w:hAnsi="Arial" w:cs="Arial"/>
          <w:b/>
        </w:rPr>
        <w:tab/>
      </w:r>
    </w:p>
    <w:p w14:paraId="4F78C5A3" w14:textId="77777777" w:rsidR="00535DED" w:rsidRDefault="00535DED" w:rsidP="00A25486">
      <w:pPr>
        <w:rPr>
          <w:rFonts w:ascii="Arial" w:hAnsi="Arial" w:cs="Arial"/>
          <w:b/>
        </w:rPr>
      </w:pPr>
    </w:p>
    <w:p w14:paraId="3FFF3A9E" w14:textId="5DDD61C2" w:rsidR="00A25486" w:rsidRPr="00045876" w:rsidRDefault="00A25486" w:rsidP="00C56FC8">
      <w:pPr>
        <w:rPr>
          <w:rFonts w:ascii="Arial" w:hAnsi="Arial" w:cs="Arial"/>
          <w:b/>
        </w:rPr>
      </w:pPr>
      <w:r w:rsidRPr="00045876">
        <w:rPr>
          <w:rFonts w:ascii="Arial" w:hAnsi="Arial" w:cs="Arial"/>
          <w:b/>
        </w:rPr>
        <w:t xml:space="preserve">Dated: </w:t>
      </w:r>
      <w:r w:rsidRPr="00045876">
        <w:rPr>
          <w:rFonts w:ascii="Arial" w:hAnsi="Arial" w:cs="Arial"/>
        </w:rPr>
        <w:t>October 22, 2020</w:t>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00C56FC8" w:rsidRPr="00C56FC8">
        <w:rPr>
          <w:rFonts w:ascii="CarlHartmann" w:hAnsi="CarlHartmann" w:cs="Arial"/>
          <w:color w:val="2F5496" w:themeColor="accent1" w:themeShade="BF"/>
          <w:sz w:val="72"/>
          <w:szCs w:val="72"/>
        </w:rPr>
        <w:t>A</w:t>
      </w:r>
      <w:r w:rsidRPr="00045876">
        <w:rPr>
          <w:rFonts w:ascii="Arial" w:hAnsi="Arial" w:cs="Arial"/>
          <w:i/>
          <w:iCs/>
          <w:u w:val="single"/>
        </w:rPr>
        <w:t xml:space="preserve"> </w:t>
      </w:r>
      <w:r w:rsidRPr="00045876">
        <w:rPr>
          <w:rFonts w:ascii="Arial" w:hAnsi="Arial" w:cs="Arial"/>
        </w:rPr>
        <w:tab/>
      </w:r>
      <w:r w:rsidRPr="00045876">
        <w:rPr>
          <w:rFonts w:ascii="Arial" w:hAnsi="Arial" w:cs="Arial"/>
        </w:rPr>
        <w:tab/>
      </w:r>
      <w:r w:rsidRPr="00045876">
        <w:rPr>
          <w:rFonts w:ascii="Arial" w:hAnsi="Arial" w:cs="Arial"/>
        </w:rPr>
        <w:tab/>
      </w:r>
      <w:r w:rsidR="00C56FC8">
        <w:rPr>
          <w:rFonts w:ascii="Arial" w:hAnsi="Arial" w:cs="Arial"/>
        </w:rPr>
        <w:tab/>
      </w:r>
      <w:r w:rsidR="00C56FC8">
        <w:rPr>
          <w:rFonts w:ascii="Arial" w:hAnsi="Arial" w:cs="Arial"/>
        </w:rPr>
        <w:tab/>
      </w:r>
      <w:r w:rsidR="00C56FC8">
        <w:rPr>
          <w:rFonts w:ascii="Arial" w:hAnsi="Arial" w:cs="Arial"/>
        </w:rPr>
        <w:tab/>
      </w:r>
      <w:r w:rsidR="00C56FC8">
        <w:rPr>
          <w:rFonts w:ascii="Arial" w:hAnsi="Arial" w:cs="Arial"/>
        </w:rPr>
        <w:tab/>
      </w:r>
      <w:r w:rsidR="00C56FC8">
        <w:rPr>
          <w:rFonts w:ascii="Arial" w:hAnsi="Arial" w:cs="Arial"/>
        </w:rPr>
        <w:tab/>
      </w:r>
      <w:r w:rsidR="00C56FC8">
        <w:rPr>
          <w:rFonts w:ascii="Arial" w:hAnsi="Arial" w:cs="Arial"/>
        </w:rPr>
        <w:tab/>
      </w:r>
      <w:r w:rsidRPr="00045876">
        <w:rPr>
          <w:rFonts w:ascii="Arial" w:hAnsi="Arial" w:cs="Arial"/>
          <w:b/>
        </w:rPr>
        <w:t xml:space="preserve">Carl J. Hartmann III, </w:t>
      </w:r>
      <w:proofErr w:type="spellStart"/>
      <w:r w:rsidRPr="00045876">
        <w:rPr>
          <w:rFonts w:ascii="Arial" w:hAnsi="Arial" w:cs="Arial"/>
          <w:b/>
        </w:rPr>
        <w:t>Esq.</w:t>
      </w:r>
      <w:proofErr w:type="spellEnd"/>
    </w:p>
    <w:p w14:paraId="3D78A65A" w14:textId="77777777" w:rsidR="00A25486" w:rsidRPr="00045876" w:rsidRDefault="00A25486" w:rsidP="00A25486">
      <w:pPr>
        <w:ind w:left="5040"/>
        <w:jc w:val="both"/>
        <w:outlineLvl w:val="0"/>
        <w:rPr>
          <w:rFonts w:ascii="Arial" w:hAnsi="Arial" w:cs="Arial"/>
          <w:b/>
        </w:rPr>
      </w:pPr>
      <w:r w:rsidRPr="00045876">
        <w:rPr>
          <w:rFonts w:ascii="Arial" w:hAnsi="Arial" w:cs="Arial"/>
          <w:i/>
        </w:rPr>
        <w:t>Co-Counsel for Plaintiff</w:t>
      </w:r>
    </w:p>
    <w:p w14:paraId="58929433" w14:textId="77777777" w:rsidR="00A25486" w:rsidRPr="00045876" w:rsidRDefault="00A25486" w:rsidP="00A25486">
      <w:pPr>
        <w:ind w:left="5040"/>
        <w:jc w:val="both"/>
        <w:outlineLvl w:val="0"/>
        <w:rPr>
          <w:rFonts w:ascii="Arial" w:hAnsi="Arial" w:cs="Arial"/>
        </w:rPr>
      </w:pPr>
      <w:r w:rsidRPr="00045876">
        <w:rPr>
          <w:rFonts w:ascii="Arial" w:hAnsi="Arial" w:cs="Arial"/>
        </w:rPr>
        <w:t>1545 18</w:t>
      </w:r>
      <w:r w:rsidRPr="00045876">
        <w:rPr>
          <w:rFonts w:ascii="Arial" w:hAnsi="Arial" w:cs="Arial"/>
          <w:vertAlign w:val="superscript"/>
        </w:rPr>
        <w:t>th</w:t>
      </w:r>
      <w:r w:rsidRPr="00045876">
        <w:rPr>
          <w:rFonts w:ascii="Arial" w:hAnsi="Arial" w:cs="Arial"/>
        </w:rPr>
        <w:t xml:space="preserve"> Street NW, Suite 816</w:t>
      </w:r>
    </w:p>
    <w:p w14:paraId="0A4C49A3" w14:textId="77777777" w:rsidR="00A25486" w:rsidRPr="00045876" w:rsidRDefault="00A25486" w:rsidP="00A25486">
      <w:pPr>
        <w:ind w:left="5040"/>
        <w:jc w:val="both"/>
        <w:outlineLvl w:val="0"/>
        <w:rPr>
          <w:rFonts w:ascii="Arial" w:hAnsi="Arial" w:cs="Arial"/>
          <w:b/>
        </w:rPr>
      </w:pPr>
      <w:r w:rsidRPr="00045876">
        <w:rPr>
          <w:rFonts w:ascii="Arial" w:hAnsi="Arial" w:cs="Arial"/>
        </w:rPr>
        <w:t>Washington, DC 20036</w:t>
      </w:r>
    </w:p>
    <w:p w14:paraId="2BB1B547" w14:textId="77777777" w:rsidR="00A25486" w:rsidRPr="00045876" w:rsidRDefault="00A25486" w:rsidP="00A25486">
      <w:pPr>
        <w:ind w:left="5040"/>
        <w:jc w:val="both"/>
        <w:outlineLvl w:val="0"/>
        <w:rPr>
          <w:rFonts w:ascii="Arial" w:hAnsi="Arial" w:cs="Arial"/>
          <w:b/>
        </w:rPr>
      </w:pPr>
      <w:r w:rsidRPr="00045876">
        <w:rPr>
          <w:rFonts w:ascii="Arial" w:hAnsi="Arial" w:cs="Arial"/>
        </w:rPr>
        <w:t xml:space="preserve">Email: carl@carlhartmann.com </w:t>
      </w:r>
    </w:p>
    <w:p w14:paraId="5B842E12" w14:textId="2D7ED161" w:rsidR="00A25486" w:rsidRPr="00045876" w:rsidRDefault="00A25486" w:rsidP="00A25486">
      <w:pPr>
        <w:ind w:left="5040"/>
        <w:jc w:val="both"/>
        <w:outlineLvl w:val="0"/>
        <w:rPr>
          <w:rFonts w:ascii="Arial" w:hAnsi="Arial" w:cs="Arial"/>
        </w:rPr>
      </w:pPr>
      <w:r w:rsidRPr="00045876">
        <w:rPr>
          <w:rFonts w:ascii="Arial" w:hAnsi="Arial" w:cs="Arial"/>
        </w:rPr>
        <w:t xml:space="preserve">Tele: (340) </w:t>
      </w:r>
      <w:r w:rsidR="00C56FC8">
        <w:rPr>
          <w:rFonts w:ascii="Arial" w:hAnsi="Arial" w:cs="Arial"/>
        </w:rPr>
        <w:t>642-4422</w:t>
      </w:r>
    </w:p>
    <w:p w14:paraId="04FBEA3D" w14:textId="77777777" w:rsidR="00A25486" w:rsidRPr="00045876" w:rsidRDefault="00A25486" w:rsidP="00A25486">
      <w:pPr>
        <w:jc w:val="both"/>
        <w:outlineLvl w:val="0"/>
        <w:rPr>
          <w:rFonts w:ascii="Arial" w:hAnsi="Arial" w:cs="Arial"/>
          <w:b/>
        </w:rPr>
      </w:pPr>
    </w:p>
    <w:p w14:paraId="4F55C7F4" w14:textId="77777777" w:rsidR="00A25486" w:rsidRPr="00045876" w:rsidRDefault="00A25486" w:rsidP="00A25486">
      <w:pPr>
        <w:outlineLvl w:val="0"/>
        <w:rPr>
          <w:rFonts w:ascii="Arial" w:hAnsi="Arial" w:cs="Arial"/>
          <w:b/>
        </w:rPr>
      </w:pPr>
      <w:r w:rsidRPr="00045876">
        <w:rPr>
          <w:rFonts w:ascii="Arial" w:hAnsi="Arial" w:cs="Arial"/>
          <w:b/>
        </w:rPr>
        <w:tab/>
      </w:r>
      <w:r w:rsidRPr="00045876">
        <w:rPr>
          <w:rFonts w:ascii="Arial" w:hAnsi="Arial" w:cs="Arial"/>
          <w:b/>
        </w:rPr>
        <w:tab/>
      </w:r>
      <w:r w:rsidRPr="00045876">
        <w:rPr>
          <w:rFonts w:ascii="Arial" w:hAnsi="Arial" w:cs="Arial"/>
          <w:b/>
        </w:rPr>
        <w:tab/>
      </w:r>
      <w:r w:rsidRPr="00045876">
        <w:rPr>
          <w:rFonts w:ascii="Arial" w:hAnsi="Arial" w:cs="Arial"/>
          <w:b/>
        </w:rPr>
        <w:tab/>
      </w:r>
      <w:r w:rsidRPr="00045876">
        <w:rPr>
          <w:rFonts w:ascii="Arial" w:hAnsi="Arial" w:cs="Arial"/>
          <w:b/>
        </w:rPr>
        <w:tab/>
      </w:r>
      <w:r w:rsidRPr="00045876">
        <w:rPr>
          <w:rFonts w:ascii="Arial" w:hAnsi="Arial" w:cs="Arial"/>
          <w:b/>
        </w:rPr>
        <w:tab/>
      </w:r>
      <w:r w:rsidRPr="00045876">
        <w:rPr>
          <w:rFonts w:ascii="Arial" w:hAnsi="Arial" w:cs="Arial"/>
          <w:b/>
        </w:rPr>
        <w:tab/>
        <w:t xml:space="preserve">Joel H. Holt, </w:t>
      </w:r>
      <w:proofErr w:type="spellStart"/>
      <w:r w:rsidRPr="00045876">
        <w:rPr>
          <w:rFonts w:ascii="Arial" w:hAnsi="Arial" w:cs="Arial"/>
          <w:b/>
        </w:rPr>
        <w:t>Esq.</w:t>
      </w:r>
      <w:proofErr w:type="spellEnd"/>
    </w:p>
    <w:p w14:paraId="28E4B269" w14:textId="77777777" w:rsidR="00A25486" w:rsidRPr="00045876" w:rsidRDefault="00A25486" w:rsidP="00A25486">
      <w:pPr>
        <w:rPr>
          <w:rFonts w:ascii="Arial" w:hAnsi="Arial" w:cs="Arial"/>
          <w:i/>
        </w:rPr>
      </w:pP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i/>
        </w:rPr>
        <w:t>Counsel for Plaintiff</w:t>
      </w:r>
    </w:p>
    <w:p w14:paraId="689D26A8" w14:textId="77777777" w:rsidR="00A25486" w:rsidRPr="00045876" w:rsidRDefault="00A25486" w:rsidP="00A25486">
      <w:pPr>
        <w:rPr>
          <w:rFonts w:ascii="Arial" w:hAnsi="Arial" w:cs="Arial"/>
        </w:rPr>
      </w:pP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t>Law Offices of Joel H. Holt</w:t>
      </w:r>
    </w:p>
    <w:p w14:paraId="6FE0E3EE" w14:textId="77777777" w:rsidR="00A25486" w:rsidRPr="00045876" w:rsidRDefault="00A25486" w:rsidP="00A25486">
      <w:pPr>
        <w:rPr>
          <w:rFonts w:ascii="Arial" w:hAnsi="Arial" w:cs="Arial"/>
        </w:rPr>
      </w:pP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t>2132 Company Street,</w:t>
      </w:r>
    </w:p>
    <w:p w14:paraId="219506B1" w14:textId="77777777" w:rsidR="00A25486" w:rsidRPr="00045876" w:rsidRDefault="00A25486" w:rsidP="00A25486">
      <w:pPr>
        <w:rPr>
          <w:rFonts w:ascii="Arial" w:hAnsi="Arial" w:cs="Arial"/>
        </w:rPr>
      </w:pP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t xml:space="preserve">Christiansted, </w:t>
      </w:r>
      <w:proofErr w:type="spellStart"/>
      <w:r w:rsidRPr="00045876">
        <w:rPr>
          <w:rFonts w:ascii="Arial" w:hAnsi="Arial" w:cs="Arial"/>
        </w:rPr>
        <w:t>Vl</w:t>
      </w:r>
      <w:proofErr w:type="spellEnd"/>
      <w:r w:rsidRPr="00045876">
        <w:rPr>
          <w:rFonts w:ascii="Arial" w:hAnsi="Arial" w:cs="Arial"/>
        </w:rPr>
        <w:t xml:space="preserve"> 00820</w:t>
      </w:r>
    </w:p>
    <w:p w14:paraId="6D2E770F" w14:textId="77777777" w:rsidR="00A25486" w:rsidRPr="00045876" w:rsidRDefault="00A25486" w:rsidP="00A25486">
      <w:pPr>
        <w:rPr>
          <w:rFonts w:ascii="Arial" w:hAnsi="Arial" w:cs="Arial"/>
        </w:rPr>
      </w:pP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t>Email: holtvi@aol.com</w:t>
      </w:r>
    </w:p>
    <w:p w14:paraId="2A9A7495" w14:textId="77777777" w:rsidR="00A25486" w:rsidRPr="00045876" w:rsidRDefault="00A25486" w:rsidP="00A25486">
      <w:pPr>
        <w:rPr>
          <w:rFonts w:ascii="Arial" w:hAnsi="Arial" w:cs="Arial"/>
        </w:rPr>
      </w:pP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t>Tele: (340) 773-8709</w:t>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t>Fax: (340) 773-8670</w:t>
      </w:r>
    </w:p>
    <w:p w14:paraId="37036398" w14:textId="77777777" w:rsidR="00A25486" w:rsidRPr="00045876" w:rsidRDefault="00A25486" w:rsidP="00A25486">
      <w:pPr>
        <w:rPr>
          <w:rFonts w:ascii="Arial" w:hAnsi="Arial" w:cs="Arial"/>
          <w:b/>
        </w:rPr>
      </w:pPr>
    </w:p>
    <w:p w14:paraId="18108C39" w14:textId="77777777" w:rsidR="00A25486" w:rsidRPr="00045876" w:rsidRDefault="00A25486" w:rsidP="00A25486">
      <w:pPr>
        <w:jc w:val="center"/>
        <w:rPr>
          <w:rFonts w:ascii="Arial" w:hAnsi="Arial" w:cs="Arial"/>
          <w:b/>
        </w:rPr>
      </w:pPr>
      <w:r w:rsidRPr="00045876">
        <w:rPr>
          <w:rFonts w:ascii="Arial" w:hAnsi="Arial" w:cs="Arial"/>
          <w:b/>
        </w:rPr>
        <w:t>CERTIFICATE OF WORD/PAGE COUNT</w:t>
      </w:r>
    </w:p>
    <w:p w14:paraId="4DE0348F" w14:textId="77777777" w:rsidR="00A25486" w:rsidRPr="00045876" w:rsidRDefault="00A25486" w:rsidP="00A25486">
      <w:pPr>
        <w:jc w:val="center"/>
        <w:rPr>
          <w:rFonts w:ascii="Arial" w:hAnsi="Arial" w:cs="Arial"/>
          <w:b/>
        </w:rPr>
      </w:pPr>
    </w:p>
    <w:p w14:paraId="2D4D213A" w14:textId="77777777" w:rsidR="00A25486" w:rsidRPr="00045876" w:rsidRDefault="00A25486" w:rsidP="00A25486">
      <w:pPr>
        <w:ind w:firstLine="720"/>
        <w:jc w:val="both"/>
        <w:outlineLvl w:val="0"/>
        <w:rPr>
          <w:rFonts w:ascii="Arial" w:hAnsi="Arial" w:cs="Arial"/>
        </w:rPr>
      </w:pPr>
      <w:r w:rsidRPr="00045876">
        <w:rPr>
          <w:rFonts w:ascii="Arial" w:hAnsi="Arial" w:cs="Arial"/>
        </w:rPr>
        <w:t xml:space="preserve">This document complies with the limitations set forth in Rule 6-1 (e).  </w:t>
      </w:r>
    </w:p>
    <w:p w14:paraId="0300684B" w14:textId="77777777" w:rsidR="00A25486" w:rsidRPr="00045876" w:rsidRDefault="00A25486" w:rsidP="00A25486">
      <w:pPr>
        <w:ind w:firstLine="720"/>
        <w:jc w:val="both"/>
        <w:outlineLvl w:val="0"/>
        <w:rPr>
          <w:rFonts w:ascii="Arial" w:hAnsi="Arial" w:cs="Arial"/>
        </w:rPr>
      </w:pPr>
    </w:p>
    <w:p w14:paraId="2B4727D1" w14:textId="384A78E2" w:rsidR="00C56FC8" w:rsidRDefault="00C56FC8" w:rsidP="00C56FC8">
      <w:pPr>
        <w:ind w:left="4320" w:firstLine="720"/>
        <w:rPr>
          <w:rFonts w:ascii="CarlHartmann" w:hAnsi="CarlHartmann" w:cs="Arial"/>
          <w:color w:val="2F5496" w:themeColor="accent1" w:themeShade="BF"/>
          <w:sz w:val="72"/>
          <w:szCs w:val="72"/>
        </w:rPr>
      </w:pPr>
      <w:r w:rsidRPr="00C56FC8">
        <w:rPr>
          <w:rFonts w:ascii="CarlHartmann" w:hAnsi="CarlHartmann" w:cs="Arial"/>
          <w:color w:val="2F5496" w:themeColor="accent1" w:themeShade="BF"/>
          <w:sz w:val="72"/>
          <w:szCs w:val="72"/>
        </w:rPr>
        <w:t>A</w:t>
      </w:r>
    </w:p>
    <w:p w14:paraId="1C0C5B2F" w14:textId="77777777" w:rsidR="00C56FC8" w:rsidRDefault="00C56FC8">
      <w:pPr>
        <w:spacing w:after="160" w:line="259" w:lineRule="auto"/>
        <w:rPr>
          <w:rFonts w:ascii="CarlHartmann" w:hAnsi="CarlHartmann" w:cs="Arial"/>
          <w:color w:val="2F5496" w:themeColor="accent1" w:themeShade="BF"/>
          <w:sz w:val="72"/>
          <w:szCs w:val="72"/>
        </w:rPr>
      </w:pPr>
      <w:r>
        <w:rPr>
          <w:rFonts w:ascii="CarlHartmann" w:hAnsi="CarlHartmann" w:cs="Arial"/>
          <w:color w:val="2F5496" w:themeColor="accent1" w:themeShade="BF"/>
          <w:sz w:val="72"/>
          <w:szCs w:val="72"/>
        </w:rPr>
        <w:br w:type="page"/>
      </w:r>
    </w:p>
    <w:p w14:paraId="7835855F" w14:textId="77777777" w:rsidR="006F31F8" w:rsidRPr="00045876" w:rsidRDefault="006F31F8" w:rsidP="00C56FC8">
      <w:pPr>
        <w:ind w:left="4320" w:firstLine="720"/>
        <w:rPr>
          <w:rFonts w:ascii="Arial" w:hAnsi="Arial" w:cs="Arial"/>
        </w:rPr>
      </w:pPr>
    </w:p>
    <w:p w14:paraId="509CCC96" w14:textId="77777777" w:rsidR="00A25486" w:rsidRPr="00045876" w:rsidRDefault="00A25486" w:rsidP="00A25486">
      <w:pPr>
        <w:jc w:val="center"/>
        <w:rPr>
          <w:rFonts w:ascii="Arial" w:hAnsi="Arial" w:cs="Arial"/>
        </w:rPr>
      </w:pPr>
      <w:r w:rsidRPr="00045876">
        <w:rPr>
          <w:rFonts w:ascii="Arial" w:hAnsi="Arial" w:cs="Arial"/>
          <w:b/>
        </w:rPr>
        <w:t>CERTIFICATE OF SERVICE</w:t>
      </w:r>
    </w:p>
    <w:p w14:paraId="2A617581" w14:textId="77777777" w:rsidR="00A25486" w:rsidRPr="00045876" w:rsidRDefault="00A25486" w:rsidP="00A25486">
      <w:pPr>
        <w:jc w:val="both"/>
        <w:rPr>
          <w:rFonts w:ascii="Arial" w:hAnsi="Arial" w:cs="Arial"/>
        </w:rPr>
      </w:pPr>
    </w:p>
    <w:p w14:paraId="77E595A0" w14:textId="77777777" w:rsidR="00A25486" w:rsidRPr="00045876" w:rsidRDefault="00A25486" w:rsidP="00A25486">
      <w:pPr>
        <w:jc w:val="both"/>
        <w:rPr>
          <w:rFonts w:ascii="Arial" w:hAnsi="Arial" w:cs="Arial"/>
        </w:rPr>
      </w:pPr>
      <w:r w:rsidRPr="00045876">
        <w:rPr>
          <w:rFonts w:ascii="Arial" w:hAnsi="Arial" w:cs="Arial"/>
        </w:rPr>
        <w:tab/>
        <w:t>I hereby certify that on this 22</w:t>
      </w:r>
      <w:r w:rsidRPr="00045876">
        <w:rPr>
          <w:rFonts w:ascii="Arial" w:hAnsi="Arial" w:cs="Arial"/>
          <w:vertAlign w:val="superscript"/>
        </w:rPr>
        <w:t>nd</w:t>
      </w:r>
      <w:r w:rsidRPr="00045876">
        <w:rPr>
          <w:rFonts w:ascii="Arial" w:hAnsi="Arial" w:cs="Arial"/>
        </w:rPr>
        <w:t xml:space="preserve"> day of </w:t>
      </w:r>
      <w:proofErr w:type="gramStart"/>
      <w:r w:rsidRPr="00045876">
        <w:rPr>
          <w:rFonts w:ascii="Arial" w:hAnsi="Arial" w:cs="Arial"/>
        </w:rPr>
        <w:t>October,</w:t>
      </w:r>
      <w:proofErr w:type="gramEnd"/>
      <w:r w:rsidRPr="00045876">
        <w:rPr>
          <w:rFonts w:ascii="Arial" w:hAnsi="Arial" w:cs="Arial"/>
        </w:rPr>
        <w:t xml:space="preserve"> 2020, I served a copy of the foregoing by email, as agreed by the parties, on:</w:t>
      </w:r>
    </w:p>
    <w:p w14:paraId="3DAA0B11" w14:textId="77777777" w:rsidR="00A25486" w:rsidRPr="00045876" w:rsidRDefault="00A25486" w:rsidP="00A25486">
      <w:pPr>
        <w:jc w:val="both"/>
        <w:rPr>
          <w:rFonts w:ascii="Arial" w:hAnsi="Arial" w:cs="Arial"/>
          <w:b/>
        </w:rPr>
      </w:pPr>
    </w:p>
    <w:p w14:paraId="3F777367" w14:textId="03808C35" w:rsidR="00A25486" w:rsidRPr="00045876" w:rsidRDefault="00A25486" w:rsidP="00A25486">
      <w:pPr>
        <w:jc w:val="both"/>
        <w:outlineLvl w:val="0"/>
        <w:rPr>
          <w:rFonts w:ascii="Arial" w:hAnsi="Arial" w:cs="Arial"/>
          <w:b/>
        </w:rPr>
      </w:pPr>
      <w:r w:rsidRPr="00045876">
        <w:rPr>
          <w:rFonts w:ascii="Arial" w:hAnsi="Arial" w:cs="Arial"/>
          <w:b/>
        </w:rPr>
        <w:t xml:space="preserve">Hon. Edgar Ross </w:t>
      </w:r>
      <w:r w:rsidRPr="00045876">
        <w:rPr>
          <w:rFonts w:ascii="Arial" w:hAnsi="Arial" w:cs="Arial"/>
          <w:bCs/>
          <w:i/>
          <w:iCs/>
        </w:rPr>
        <w:t>(w/ 2 paper copies to his Clerk</w:t>
      </w:r>
      <w:r w:rsidR="00C56FC8">
        <w:rPr>
          <w:rFonts w:ascii="Arial" w:hAnsi="Arial" w:cs="Arial"/>
          <w:bCs/>
          <w:i/>
          <w:iCs/>
        </w:rPr>
        <w:t xml:space="preserve"> when all are submitted</w:t>
      </w:r>
      <w:r w:rsidRPr="00045876">
        <w:rPr>
          <w:rFonts w:ascii="Arial" w:hAnsi="Arial" w:cs="Arial"/>
          <w:bCs/>
          <w:i/>
          <w:iCs/>
        </w:rPr>
        <w:t>)</w:t>
      </w:r>
    </w:p>
    <w:p w14:paraId="6493034B" w14:textId="77777777" w:rsidR="00A25486" w:rsidRPr="00045876" w:rsidRDefault="00A25486" w:rsidP="00A25486">
      <w:pPr>
        <w:jc w:val="both"/>
        <w:outlineLvl w:val="0"/>
        <w:rPr>
          <w:rFonts w:ascii="Arial" w:hAnsi="Arial" w:cs="Arial"/>
        </w:rPr>
      </w:pPr>
      <w:r w:rsidRPr="00045876">
        <w:rPr>
          <w:rFonts w:ascii="Arial" w:hAnsi="Arial" w:cs="Arial"/>
        </w:rPr>
        <w:t>Special Master</w:t>
      </w:r>
    </w:p>
    <w:p w14:paraId="76F23C05" w14:textId="77777777" w:rsidR="00A25486" w:rsidRPr="00045876" w:rsidRDefault="00A25486" w:rsidP="00A25486">
      <w:pPr>
        <w:jc w:val="both"/>
        <w:rPr>
          <w:rFonts w:ascii="Arial" w:hAnsi="Arial" w:cs="Arial"/>
        </w:rPr>
      </w:pPr>
      <w:r w:rsidRPr="00045876">
        <w:rPr>
          <w:rFonts w:ascii="Arial" w:hAnsi="Arial" w:cs="Arial"/>
        </w:rPr>
        <w:t>edgarrossjudge@hotmail.com</w:t>
      </w:r>
    </w:p>
    <w:p w14:paraId="45F57B9C" w14:textId="77777777" w:rsidR="00A25486" w:rsidRPr="00045876" w:rsidRDefault="00A25486" w:rsidP="00A25486">
      <w:pPr>
        <w:jc w:val="both"/>
        <w:rPr>
          <w:rFonts w:ascii="Arial" w:hAnsi="Arial" w:cs="Arial"/>
        </w:rPr>
      </w:pPr>
    </w:p>
    <w:p w14:paraId="7593E9CF" w14:textId="77777777" w:rsidR="00A25486" w:rsidRPr="00045876" w:rsidRDefault="00A25486" w:rsidP="00A25486">
      <w:pPr>
        <w:autoSpaceDE w:val="0"/>
        <w:autoSpaceDN w:val="0"/>
        <w:adjustRightInd w:val="0"/>
        <w:jc w:val="both"/>
        <w:outlineLvl w:val="0"/>
        <w:rPr>
          <w:rFonts w:ascii="Arial" w:hAnsi="Arial" w:cs="Arial"/>
          <w:b/>
          <w:bCs/>
          <w:color w:val="212121"/>
        </w:rPr>
      </w:pPr>
      <w:r w:rsidRPr="00045876">
        <w:rPr>
          <w:rFonts w:ascii="Arial" w:hAnsi="Arial" w:cs="Arial"/>
          <w:b/>
          <w:bCs/>
          <w:color w:val="212121"/>
        </w:rPr>
        <w:t>Gregory H. Hodges</w:t>
      </w:r>
    </w:p>
    <w:p w14:paraId="467D97BF" w14:textId="77777777" w:rsidR="00A25486" w:rsidRPr="00045876" w:rsidRDefault="00A25486" w:rsidP="00A25486">
      <w:pPr>
        <w:autoSpaceDE w:val="0"/>
        <w:autoSpaceDN w:val="0"/>
        <w:adjustRightInd w:val="0"/>
        <w:jc w:val="both"/>
        <w:outlineLvl w:val="0"/>
        <w:rPr>
          <w:rFonts w:ascii="Arial" w:hAnsi="Arial" w:cs="Arial"/>
          <w:b/>
          <w:bCs/>
          <w:color w:val="212121"/>
        </w:rPr>
      </w:pPr>
      <w:r w:rsidRPr="00045876">
        <w:rPr>
          <w:rFonts w:ascii="Arial" w:hAnsi="Arial" w:cs="Arial"/>
          <w:b/>
          <w:bCs/>
          <w:color w:val="212121"/>
        </w:rPr>
        <w:t>Charlotte Perrell</w:t>
      </w:r>
    </w:p>
    <w:p w14:paraId="5B334371" w14:textId="77777777" w:rsidR="00A25486" w:rsidRPr="00045876" w:rsidRDefault="00A25486" w:rsidP="00A25486">
      <w:pPr>
        <w:autoSpaceDE w:val="0"/>
        <w:autoSpaceDN w:val="0"/>
        <w:adjustRightInd w:val="0"/>
        <w:jc w:val="both"/>
        <w:outlineLvl w:val="0"/>
        <w:rPr>
          <w:rFonts w:ascii="Arial" w:hAnsi="Arial" w:cs="Arial"/>
          <w:color w:val="212121"/>
        </w:rPr>
      </w:pPr>
      <w:r w:rsidRPr="00045876">
        <w:rPr>
          <w:rFonts w:ascii="Arial" w:hAnsi="Arial" w:cs="Arial"/>
          <w:color w:val="212121"/>
        </w:rPr>
        <w:t>Law House, 10000 Frederiksberg Gade</w:t>
      </w:r>
    </w:p>
    <w:p w14:paraId="58AF23B6" w14:textId="77777777" w:rsidR="00A25486" w:rsidRPr="00045876" w:rsidRDefault="00A25486" w:rsidP="00A25486">
      <w:pPr>
        <w:autoSpaceDE w:val="0"/>
        <w:autoSpaceDN w:val="0"/>
        <w:adjustRightInd w:val="0"/>
        <w:jc w:val="both"/>
        <w:rPr>
          <w:rFonts w:ascii="Arial" w:hAnsi="Arial" w:cs="Arial"/>
          <w:color w:val="212121"/>
        </w:rPr>
      </w:pPr>
      <w:r w:rsidRPr="00045876">
        <w:rPr>
          <w:rFonts w:ascii="Arial" w:hAnsi="Arial" w:cs="Arial"/>
          <w:color w:val="212121"/>
        </w:rPr>
        <w:t>P.O. Box 756</w:t>
      </w:r>
    </w:p>
    <w:p w14:paraId="51F9D8E7" w14:textId="77777777" w:rsidR="00A25486" w:rsidRPr="00045876" w:rsidRDefault="00A25486" w:rsidP="00A25486">
      <w:pPr>
        <w:autoSpaceDE w:val="0"/>
        <w:autoSpaceDN w:val="0"/>
        <w:adjustRightInd w:val="0"/>
        <w:jc w:val="both"/>
        <w:rPr>
          <w:rFonts w:ascii="Arial" w:hAnsi="Arial" w:cs="Arial"/>
          <w:color w:val="212121"/>
        </w:rPr>
      </w:pPr>
      <w:r w:rsidRPr="00045876">
        <w:rPr>
          <w:rFonts w:ascii="Arial" w:hAnsi="Arial" w:cs="Arial"/>
          <w:color w:val="212121"/>
        </w:rPr>
        <w:t>St. Thomas, VI 00802</w:t>
      </w:r>
    </w:p>
    <w:p w14:paraId="7903034F" w14:textId="77777777" w:rsidR="00A25486" w:rsidRPr="00045876" w:rsidRDefault="00A25486" w:rsidP="00A25486">
      <w:pPr>
        <w:jc w:val="both"/>
        <w:rPr>
          <w:rFonts w:ascii="Arial" w:hAnsi="Arial" w:cs="Arial"/>
          <w:color w:val="212121"/>
        </w:rPr>
      </w:pPr>
      <w:r w:rsidRPr="00045876">
        <w:rPr>
          <w:rFonts w:ascii="Arial" w:hAnsi="Arial" w:cs="Arial"/>
          <w:color w:val="212121"/>
        </w:rPr>
        <w:t>ghodges@dnflaw.com</w:t>
      </w:r>
    </w:p>
    <w:p w14:paraId="03A2F566" w14:textId="77777777" w:rsidR="00A25486" w:rsidRPr="00045876" w:rsidRDefault="00A25486" w:rsidP="00A25486">
      <w:pPr>
        <w:jc w:val="both"/>
        <w:rPr>
          <w:rFonts w:ascii="Arial" w:hAnsi="Arial" w:cs="Arial"/>
          <w:color w:val="212121"/>
        </w:rPr>
      </w:pPr>
    </w:p>
    <w:p w14:paraId="1DACFBBC" w14:textId="77777777" w:rsidR="00A25486" w:rsidRPr="00045876" w:rsidRDefault="00A25486" w:rsidP="00A25486">
      <w:pPr>
        <w:rPr>
          <w:rFonts w:ascii="Arial" w:hAnsi="Arial" w:cs="Arial"/>
          <w:b/>
        </w:rPr>
      </w:pPr>
      <w:r w:rsidRPr="00045876">
        <w:rPr>
          <w:rFonts w:ascii="Arial" w:hAnsi="Arial" w:cs="Arial"/>
          <w:b/>
        </w:rPr>
        <w:t>Mark W. Eckard</w:t>
      </w:r>
    </w:p>
    <w:p w14:paraId="10421F2F" w14:textId="77777777" w:rsidR="00A25486" w:rsidRPr="00045876" w:rsidRDefault="00A25486" w:rsidP="00A25486">
      <w:pPr>
        <w:autoSpaceDE w:val="0"/>
        <w:autoSpaceDN w:val="0"/>
        <w:adjustRightInd w:val="0"/>
        <w:jc w:val="both"/>
        <w:outlineLvl w:val="0"/>
        <w:rPr>
          <w:rFonts w:ascii="Arial" w:hAnsi="Arial" w:cs="Arial"/>
        </w:rPr>
      </w:pPr>
      <w:r w:rsidRPr="00045876">
        <w:rPr>
          <w:rFonts w:ascii="Arial" w:hAnsi="Arial" w:cs="Arial"/>
        </w:rPr>
        <w:t>Hamm, Eckard, LLP</w:t>
      </w:r>
    </w:p>
    <w:p w14:paraId="53B31747" w14:textId="77777777" w:rsidR="00A25486" w:rsidRPr="00045876" w:rsidRDefault="00A25486" w:rsidP="00A25486">
      <w:pPr>
        <w:autoSpaceDE w:val="0"/>
        <w:autoSpaceDN w:val="0"/>
        <w:adjustRightInd w:val="0"/>
        <w:jc w:val="both"/>
        <w:rPr>
          <w:rFonts w:ascii="Arial" w:hAnsi="Arial" w:cs="Arial"/>
        </w:rPr>
      </w:pPr>
      <w:r w:rsidRPr="00045876">
        <w:rPr>
          <w:rFonts w:ascii="Arial" w:hAnsi="Arial" w:cs="Arial"/>
        </w:rPr>
        <w:t>5030 Anchor Way</w:t>
      </w:r>
    </w:p>
    <w:p w14:paraId="1890EA65" w14:textId="77777777" w:rsidR="00A25486" w:rsidRPr="00045876" w:rsidRDefault="00A25486" w:rsidP="00A25486">
      <w:pPr>
        <w:autoSpaceDE w:val="0"/>
        <w:autoSpaceDN w:val="0"/>
        <w:adjustRightInd w:val="0"/>
        <w:jc w:val="both"/>
        <w:rPr>
          <w:rFonts w:ascii="Arial" w:hAnsi="Arial" w:cs="Arial"/>
        </w:rPr>
      </w:pPr>
      <w:r w:rsidRPr="00045876">
        <w:rPr>
          <w:rFonts w:ascii="Arial" w:hAnsi="Arial" w:cs="Arial"/>
        </w:rPr>
        <w:t>Christiansted, VI 00820</w:t>
      </w:r>
    </w:p>
    <w:p w14:paraId="0A7CD1E0" w14:textId="77777777" w:rsidR="00A25486" w:rsidRPr="00045876" w:rsidRDefault="00A25486" w:rsidP="00A25486">
      <w:pPr>
        <w:jc w:val="both"/>
        <w:rPr>
          <w:rFonts w:ascii="Arial" w:hAnsi="Arial" w:cs="Arial"/>
        </w:rPr>
      </w:pPr>
      <w:r w:rsidRPr="00045876">
        <w:rPr>
          <w:rFonts w:ascii="Arial" w:hAnsi="Arial" w:cs="Arial"/>
        </w:rPr>
        <w:t>mark@markeckard.com</w:t>
      </w:r>
    </w:p>
    <w:p w14:paraId="718C4627" w14:textId="77777777" w:rsidR="00A25486" w:rsidRPr="00045876" w:rsidRDefault="00A25486" w:rsidP="00A25486">
      <w:pPr>
        <w:autoSpaceDE w:val="0"/>
        <w:autoSpaceDN w:val="0"/>
        <w:adjustRightInd w:val="0"/>
        <w:jc w:val="both"/>
        <w:rPr>
          <w:rFonts w:ascii="Arial" w:hAnsi="Arial" w:cs="Arial"/>
        </w:rPr>
      </w:pPr>
    </w:p>
    <w:p w14:paraId="2D6C46D2" w14:textId="77777777" w:rsidR="00A25486" w:rsidRPr="00045876" w:rsidRDefault="00A25486" w:rsidP="00A25486">
      <w:pPr>
        <w:jc w:val="both"/>
        <w:outlineLvl w:val="0"/>
        <w:rPr>
          <w:rFonts w:ascii="Arial" w:hAnsi="Arial" w:cs="Arial"/>
          <w:b/>
        </w:rPr>
      </w:pPr>
      <w:r w:rsidRPr="00045876">
        <w:rPr>
          <w:rFonts w:ascii="Arial" w:hAnsi="Arial" w:cs="Arial"/>
          <w:b/>
        </w:rPr>
        <w:t>Jeffrey B. C. Moorhead</w:t>
      </w:r>
    </w:p>
    <w:p w14:paraId="2DE5BB7C" w14:textId="77777777" w:rsidR="00A25486" w:rsidRPr="00045876" w:rsidRDefault="00A25486" w:rsidP="00A25486">
      <w:pPr>
        <w:jc w:val="both"/>
        <w:outlineLvl w:val="0"/>
        <w:rPr>
          <w:rFonts w:ascii="Arial" w:hAnsi="Arial" w:cs="Arial"/>
        </w:rPr>
      </w:pPr>
      <w:r w:rsidRPr="00045876">
        <w:rPr>
          <w:rFonts w:ascii="Arial" w:hAnsi="Arial" w:cs="Arial"/>
        </w:rPr>
        <w:t>CRT Brow Building</w:t>
      </w:r>
    </w:p>
    <w:p w14:paraId="61564BAD" w14:textId="77777777" w:rsidR="00A25486" w:rsidRPr="00045876" w:rsidRDefault="00A25486" w:rsidP="00A25486">
      <w:pPr>
        <w:autoSpaceDE w:val="0"/>
        <w:autoSpaceDN w:val="0"/>
        <w:adjustRightInd w:val="0"/>
        <w:jc w:val="both"/>
        <w:rPr>
          <w:rFonts w:ascii="Arial" w:hAnsi="Arial" w:cs="Arial"/>
        </w:rPr>
      </w:pPr>
      <w:r w:rsidRPr="00045876">
        <w:rPr>
          <w:rFonts w:ascii="Arial" w:hAnsi="Arial" w:cs="Arial"/>
        </w:rPr>
        <w:t>1132 King Street, Suite 3</w:t>
      </w:r>
    </w:p>
    <w:p w14:paraId="46A21E90" w14:textId="77777777" w:rsidR="00A25486" w:rsidRPr="00045876" w:rsidRDefault="00A25486" w:rsidP="00A25486">
      <w:pPr>
        <w:autoSpaceDE w:val="0"/>
        <w:autoSpaceDN w:val="0"/>
        <w:adjustRightInd w:val="0"/>
        <w:jc w:val="both"/>
        <w:rPr>
          <w:rFonts w:ascii="Arial" w:hAnsi="Arial" w:cs="Arial"/>
        </w:rPr>
      </w:pPr>
      <w:r w:rsidRPr="00045876">
        <w:rPr>
          <w:rFonts w:ascii="Arial" w:hAnsi="Arial" w:cs="Arial"/>
        </w:rPr>
        <w:t>Christiansted, VI 00820</w:t>
      </w:r>
    </w:p>
    <w:p w14:paraId="547B57AC" w14:textId="77777777" w:rsidR="00A25486" w:rsidRPr="00045876" w:rsidRDefault="00A25486" w:rsidP="00A25486">
      <w:pPr>
        <w:autoSpaceDE w:val="0"/>
        <w:autoSpaceDN w:val="0"/>
        <w:adjustRightInd w:val="0"/>
        <w:jc w:val="both"/>
        <w:rPr>
          <w:rFonts w:ascii="Arial" w:hAnsi="Arial" w:cs="Arial"/>
        </w:rPr>
      </w:pPr>
      <w:r w:rsidRPr="00045876">
        <w:rPr>
          <w:rFonts w:ascii="Arial" w:hAnsi="Arial" w:cs="Arial"/>
        </w:rPr>
        <w:t>jeffreymlaw@yahoo.com</w:t>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p>
    <w:p w14:paraId="02D0DB5C" w14:textId="12E2EC73" w:rsidR="00A25486" w:rsidRPr="00045876" w:rsidRDefault="00A25486" w:rsidP="006F31F8">
      <w:pPr>
        <w:autoSpaceDE w:val="0"/>
        <w:autoSpaceDN w:val="0"/>
        <w:adjustRightInd w:val="0"/>
        <w:jc w:val="both"/>
        <w:rPr>
          <w:rFonts w:ascii="Arial" w:hAnsi="Arial" w:cs="Arial"/>
          <w:color w:val="2F5496" w:themeColor="accent1" w:themeShade="BF"/>
        </w:rPr>
      </w:pP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Pr="00045876">
        <w:rPr>
          <w:rFonts w:ascii="Arial" w:hAnsi="Arial" w:cs="Arial"/>
        </w:rPr>
        <w:tab/>
      </w:r>
      <w:r w:rsidR="00C56FC8">
        <w:rPr>
          <w:rFonts w:ascii="Arial" w:hAnsi="Arial" w:cs="Arial"/>
        </w:rPr>
        <w:tab/>
      </w:r>
      <w:r w:rsidR="00C56FC8" w:rsidRPr="00C56FC8">
        <w:rPr>
          <w:rFonts w:ascii="CarlHartmann" w:hAnsi="CarlHartmann" w:cs="Arial"/>
          <w:color w:val="2F5496" w:themeColor="accent1" w:themeShade="BF"/>
          <w:sz w:val="72"/>
          <w:szCs w:val="72"/>
        </w:rPr>
        <w:t>A</w:t>
      </w:r>
    </w:p>
    <w:p w14:paraId="7B8CE4F6" w14:textId="77777777" w:rsidR="00A25486" w:rsidRDefault="00A25486"/>
    <w:sectPr w:rsidR="00A25486" w:rsidSect="00EC7E4C">
      <w:headerReference w:type="default" r:id="rId7"/>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10442" w14:textId="77777777" w:rsidR="00D27248" w:rsidRDefault="00D27248" w:rsidP="00A25486">
      <w:r>
        <w:separator/>
      </w:r>
    </w:p>
  </w:endnote>
  <w:endnote w:type="continuationSeparator" w:id="0">
    <w:p w14:paraId="13CEF2AB" w14:textId="77777777" w:rsidR="00D27248" w:rsidRDefault="00D27248" w:rsidP="00A2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Hartmann">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397AC" w14:textId="77777777" w:rsidR="00D27248" w:rsidRDefault="00D27248" w:rsidP="00A25486">
      <w:r>
        <w:separator/>
      </w:r>
    </w:p>
  </w:footnote>
  <w:footnote w:type="continuationSeparator" w:id="0">
    <w:p w14:paraId="21D49485" w14:textId="77777777" w:rsidR="00D27248" w:rsidRDefault="00D27248" w:rsidP="00A25486">
      <w:r>
        <w:continuationSeparator/>
      </w:r>
    </w:p>
  </w:footnote>
  <w:footnote w:id="1">
    <w:p w14:paraId="217C11E5" w14:textId="31D9A99F" w:rsidR="00A25486" w:rsidRPr="00885852" w:rsidRDefault="00A25486" w:rsidP="00A25486">
      <w:pPr>
        <w:pStyle w:val="FootnoteText"/>
        <w:jc w:val="both"/>
        <w:rPr>
          <w:rFonts w:ascii="Arial" w:hAnsi="Arial" w:cs="Arial"/>
          <w:sz w:val="24"/>
          <w:szCs w:val="24"/>
        </w:rPr>
      </w:pPr>
      <w:r w:rsidRPr="00885852">
        <w:rPr>
          <w:rStyle w:val="FootnoteReference"/>
          <w:rFonts w:ascii="Arial" w:hAnsi="Arial" w:cs="Arial"/>
          <w:sz w:val="24"/>
          <w:szCs w:val="24"/>
        </w:rPr>
        <w:footnoteRef/>
      </w:r>
      <w:r w:rsidRPr="00885852">
        <w:rPr>
          <w:rFonts w:ascii="Arial" w:hAnsi="Arial" w:cs="Arial"/>
          <w:sz w:val="24"/>
          <w:szCs w:val="24"/>
        </w:rPr>
        <w:t xml:space="preserve"> Even if liability for these water claims were found, proof of any damages remains a hotly contested issue, which was not before the Court in these pending motions.</w:t>
      </w:r>
      <w:r>
        <w:rPr>
          <w:rFonts w:ascii="Arial" w:hAnsi="Arial" w:cs="Arial"/>
          <w:sz w:val="24"/>
          <w:szCs w:val="24"/>
        </w:rPr>
        <w:t xml:space="preserve"> In this regard, damages are being sought for alleged water sales from 2004 through 2015 based on a calculation of alleged water sales in 1997 and 1998, even though there is no documentation of those sales, nor is there any documentation of the alleged water sales between 2004 and 2015.</w:t>
      </w:r>
    </w:p>
  </w:footnote>
  <w:footnote w:id="2">
    <w:p w14:paraId="2FC73DE2" w14:textId="77777777" w:rsidR="00A25486" w:rsidRDefault="00A25486" w:rsidP="00A25486">
      <w:pPr>
        <w:shd w:val="clear" w:color="auto" w:fill="FFFFFF"/>
        <w:jc w:val="both"/>
        <w:textAlignment w:val="baseline"/>
        <w:rPr>
          <w:rFonts w:ascii="Arial" w:hAnsi="Arial" w:cs="Arial"/>
        </w:rPr>
      </w:pPr>
      <w:r w:rsidRPr="00695699">
        <w:rPr>
          <w:rStyle w:val="FootnoteReference"/>
          <w:rFonts w:ascii="Arial" w:hAnsi="Arial" w:cs="Arial"/>
        </w:rPr>
        <w:footnoteRef/>
      </w:r>
      <w:r w:rsidRPr="00695699">
        <w:rPr>
          <w:rFonts w:ascii="Arial" w:hAnsi="Arial" w:cs="Arial"/>
        </w:rPr>
        <w:t xml:space="preserve"> If this is a contract-based claim, the SOL for a contract claim is six years. </w:t>
      </w:r>
      <w:r w:rsidRPr="00695699">
        <w:rPr>
          <w:rFonts w:ascii="Arial" w:hAnsi="Arial" w:cs="Arial"/>
          <w:i/>
          <w:iCs/>
        </w:rPr>
        <w:t xml:space="preserve">See </w:t>
      </w:r>
      <w:r w:rsidRPr="00695699">
        <w:rPr>
          <w:rFonts w:ascii="Arial" w:hAnsi="Arial" w:cs="Arial"/>
        </w:rPr>
        <w:t>5 V.I.C. §31(3)(A). Moreover, as this Court noted on pages 21-22 of its September 3</w:t>
      </w:r>
      <w:r w:rsidRPr="00695699">
        <w:rPr>
          <w:rFonts w:ascii="Arial" w:hAnsi="Arial" w:cs="Arial"/>
          <w:vertAlign w:val="superscript"/>
        </w:rPr>
        <w:t>rd</w:t>
      </w:r>
      <w:r w:rsidRPr="00695699">
        <w:rPr>
          <w:rFonts w:ascii="Arial" w:hAnsi="Arial" w:cs="Arial"/>
        </w:rPr>
        <w:t xml:space="preserve"> Order, there is a Virgin Islands statute that expressly states that equitable claims, like unjust enrichment and restitution, are subject to the same statute of limitations as the underlying legal claim, stating in 5 V.I.C. §32(a):</w:t>
      </w:r>
    </w:p>
    <w:p w14:paraId="099DE0B8" w14:textId="77777777" w:rsidR="00A25486" w:rsidRPr="00695699" w:rsidRDefault="00A25486" w:rsidP="00A25486">
      <w:pPr>
        <w:shd w:val="clear" w:color="auto" w:fill="FFFFFF"/>
        <w:jc w:val="both"/>
        <w:textAlignment w:val="baseline"/>
        <w:rPr>
          <w:rFonts w:ascii="Arial" w:hAnsi="Arial" w:cs="Arial"/>
        </w:rPr>
      </w:pPr>
    </w:p>
    <w:p w14:paraId="08C2AF9D" w14:textId="77777777" w:rsidR="00A25486" w:rsidRPr="00824981" w:rsidRDefault="00A25486" w:rsidP="00A25486">
      <w:pPr>
        <w:pStyle w:val="ListParagraph"/>
        <w:numPr>
          <w:ilvl w:val="0"/>
          <w:numId w:val="2"/>
        </w:numPr>
        <w:shd w:val="clear" w:color="auto" w:fill="FFFFFF"/>
        <w:jc w:val="both"/>
        <w:textAlignment w:val="baseline"/>
        <w:rPr>
          <w:rFonts w:ascii="Arial" w:hAnsi="Arial" w:cs="Arial"/>
          <w:color w:val="000000"/>
          <w:sz w:val="24"/>
          <w:szCs w:val="24"/>
        </w:rPr>
      </w:pPr>
      <w:r w:rsidRPr="00824981">
        <w:rPr>
          <w:rFonts w:ascii="Arial" w:hAnsi="Arial" w:cs="Arial"/>
          <w:color w:val="000000"/>
          <w:sz w:val="24"/>
          <w:szCs w:val="24"/>
        </w:rPr>
        <w:t>An action of an equitable nature shall only be commenced within the time limited to commence an action as provided in this chapter.</w:t>
      </w:r>
    </w:p>
    <w:p w14:paraId="2FD7D96D" w14:textId="77777777" w:rsidR="00A25486" w:rsidRDefault="00A25486" w:rsidP="00A25486">
      <w:pPr>
        <w:pStyle w:val="FootnoteText"/>
      </w:pPr>
    </w:p>
  </w:footnote>
  <w:footnote w:id="3">
    <w:p w14:paraId="1A776459" w14:textId="127963B5" w:rsidR="00A25486" w:rsidRDefault="00A25486" w:rsidP="00535DED">
      <w:pPr>
        <w:shd w:val="clear" w:color="auto" w:fill="FFFFFF"/>
        <w:jc w:val="both"/>
        <w:textAlignment w:val="baseline"/>
        <w:outlineLvl w:val="0"/>
        <w:rPr>
          <w:rFonts w:ascii="Arial" w:hAnsi="Arial" w:cs="Arial"/>
          <w:color w:val="000000"/>
        </w:rPr>
      </w:pPr>
      <w:r w:rsidRPr="007B0BD3">
        <w:rPr>
          <w:rStyle w:val="FootnoteReference"/>
          <w:rFonts w:ascii="Arial" w:hAnsi="Arial" w:cs="Arial"/>
        </w:rPr>
        <w:footnoteRef/>
      </w:r>
      <w:r w:rsidRPr="007B0BD3">
        <w:rPr>
          <w:rFonts w:ascii="Arial" w:hAnsi="Arial" w:cs="Arial"/>
        </w:rPr>
        <w:t xml:space="preserve"> </w:t>
      </w:r>
      <w:r w:rsidRPr="007B0BD3">
        <w:rPr>
          <w:rFonts w:ascii="Arial" w:hAnsi="Arial" w:cs="Arial"/>
          <w:color w:val="000000"/>
        </w:rPr>
        <w:t xml:space="preserve">While there is no need to address this issue now, the conversion claim—a tort—is also barred by the “gist of the action” doctrine </w:t>
      </w:r>
      <w:r w:rsidR="00535DED">
        <w:rPr>
          <w:rFonts w:ascii="Arial" w:hAnsi="Arial" w:cs="Arial"/>
          <w:color w:val="000000"/>
        </w:rPr>
        <w:t xml:space="preserve">as discussed </w:t>
      </w:r>
      <w:r w:rsidRPr="007B0BD3">
        <w:rPr>
          <w:rFonts w:ascii="Arial" w:hAnsi="Arial" w:cs="Arial"/>
          <w:color w:val="000000"/>
        </w:rPr>
        <w:t xml:space="preserve">by Judge Brady in </w:t>
      </w:r>
      <w:proofErr w:type="spellStart"/>
      <w:r w:rsidRPr="007B0BD3">
        <w:rPr>
          <w:rFonts w:ascii="Arial" w:hAnsi="Arial" w:cs="Arial"/>
          <w:i/>
          <w:iCs/>
          <w:color w:val="000000"/>
          <w:bdr w:val="none" w:sz="0" w:space="0" w:color="auto" w:frame="1"/>
        </w:rPr>
        <w:t>Pollara</w:t>
      </w:r>
      <w:proofErr w:type="spellEnd"/>
      <w:r w:rsidRPr="007B0BD3">
        <w:rPr>
          <w:rFonts w:ascii="Arial" w:hAnsi="Arial" w:cs="Arial"/>
          <w:i/>
          <w:iCs/>
          <w:color w:val="000000"/>
          <w:bdr w:val="none" w:sz="0" w:space="0" w:color="auto" w:frame="1"/>
        </w:rPr>
        <w:t xml:space="preserve"> v. Chateau St. Croix, LLC, </w:t>
      </w:r>
      <w:r w:rsidRPr="007B0BD3">
        <w:rPr>
          <w:rFonts w:ascii="Arial" w:hAnsi="Arial" w:cs="Arial"/>
          <w:color w:val="000000"/>
        </w:rPr>
        <w:t> </w:t>
      </w:r>
      <w:r w:rsidRPr="007B0BD3">
        <w:rPr>
          <w:rFonts w:ascii="Arial" w:hAnsi="Arial" w:cs="Arial"/>
          <w:color w:val="000000"/>
          <w:shd w:val="clear" w:color="auto" w:fill="FFFFFF"/>
        </w:rPr>
        <w:t xml:space="preserve">2016 WL 2865874 *6 </w:t>
      </w:r>
      <w:r w:rsidRPr="007B0BD3">
        <w:rPr>
          <w:rFonts w:ascii="Arial" w:hAnsi="Arial" w:cs="Arial"/>
          <w:color w:val="000000"/>
        </w:rPr>
        <w:t xml:space="preserve"> (V.I. Super. May 3, 2016), holding </w:t>
      </w:r>
      <w:r w:rsidR="00535DED">
        <w:rPr>
          <w:rFonts w:ascii="Arial" w:hAnsi="Arial" w:cs="Arial"/>
          <w:color w:val="000000"/>
        </w:rPr>
        <w:t>(</w:t>
      </w:r>
      <w:r w:rsidRPr="007B0BD3">
        <w:rPr>
          <w:rFonts w:ascii="Arial" w:hAnsi="Arial" w:cs="Arial"/>
          <w:color w:val="000000"/>
        </w:rPr>
        <w:t xml:space="preserve">after doing a full </w:t>
      </w:r>
      <w:r w:rsidRPr="007B0BD3">
        <w:rPr>
          <w:rFonts w:ascii="Arial" w:hAnsi="Arial" w:cs="Arial"/>
          <w:i/>
          <w:iCs/>
          <w:color w:val="000000"/>
        </w:rPr>
        <w:t xml:space="preserve">Banks </w:t>
      </w:r>
      <w:r w:rsidRPr="007B0BD3">
        <w:rPr>
          <w:rFonts w:ascii="Arial" w:hAnsi="Arial" w:cs="Arial"/>
          <w:color w:val="000000"/>
        </w:rPr>
        <w:t>analysis</w:t>
      </w:r>
      <w:r w:rsidR="00535DED">
        <w:rPr>
          <w:rFonts w:ascii="Arial" w:hAnsi="Arial" w:cs="Arial"/>
          <w:color w:val="000000"/>
        </w:rPr>
        <w:t>)</w:t>
      </w:r>
      <w:r w:rsidRPr="007B0BD3">
        <w:rPr>
          <w:rFonts w:ascii="Arial" w:hAnsi="Arial" w:cs="Arial"/>
          <w:color w:val="000000"/>
        </w:rPr>
        <w:t>:</w:t>
      </w:r>
    </w:p>
    <w:p w14:paraId="701D13E5" w14:textId="77777777" w:rsidR="00535DED" w:rsidRPr="00535DED" w:rsidRDefault="00535DED" w:rsidP="00535DED">
      <w:pPr>
        <w:shd w:val="clear" w:color="auto" w:fill="FFFFFF"/>
        <w:jc w:val="both"/>
        <w:textAlignment w:val="baseline"/>
        <w:outlineLvl w:val="0"/>
        <w:rPr>
          <w:rFonts w:ascii="Arial" w:hAnsi="Arial" w:cs="Arial"/>
          <w:color w:val="000000"/>
        </w:rPr>
      </w:pPr>
    </w:p>
    <w:p w14:paraId="74B467AA" w14:textId="2CA32710" w:rsidR="00535DED" w:rsidRDefault="00A25486" w:rsidP="00535DED">
      <w:pPr>
        <w:ind w:left="720" w:right="720"/>
        <w:jc w:val="both"/>
        <w:outlineLvl w:val="0"/>
        <w:rPr>
          <w:rFonts w:ascii="Arial" w:hAnsi="Arial" w:cs="Arial"/>
          <w:color w:val="000000"/>
          <w:shd w:val="clear" w:color="auto" w:fill="FFFFFF"/>
        </w:rPr>
      </w:pPr>
      <w:r w:rsidRPr="00D904C2">
        <w:rPr>
          <w:rFonts w:ascii="Arial" w:hAnsi="Arial" w:cs="Arial"/>
          <w:color w:val="000000"/>
          <w:shd w:val="clear" w:color="auto" w:fill="FFFFFF"/>
        </w:rPr>
        <w:t>Briefly, the </w:t>
      </w:r>
      <w:r w:rsidRPr="00D904C2">
        <w:rPr>
          <w:rFonts w:ascii="Arial" w:hAnsi="Arial" w:cs="Arial"/>
          <w:color w:val="000000"/>
          <w:bdr w:val="none" w:sz="0" w:space="0" w:color="auto" w:frame="1"/>
          <w:shd w:val="clear" w:color="auto" w:fill="FFFFFF"/>
        </w:rPr>
        <w:t>gist</w:t>
      </w:r>
      <w:r w:rsidRPr="00D904C2">
        <w:rPr>
          <w:rFonts w:ascii="Arial" w:hAnsi="Arial" w:cs="Arial"/>
          <w:color w:val="000000"/>
          <w:shd w:val="clear" w:color="auto" w:fill="FFFFFF"/>
        </w:rPr>
        <w:t> </w:t>
      </w:r>
      <w:r w:rsidRPr="00D904C2">
        <w:rPr>
          <w:rFonts w:ascii="Arial" w:hAnsi="Arial" w:cs="Arial"/>
          <w:color w:val="000000"/>
          <w:bdr w:val="none" w:sz="0" w:space="0" w:color="auto" w:frame="1"/>
          <w:shd w:val="clear" w:color="auto" w:fill="FFFFFF"/>
        </w:rPr>
        <w:t>of</w:t>
      </w:r>
      <w:r w:rsidRPr="00D904C2">
        <w:rPr>
          <w:rFonts w:ascii="Arial" w:hAnsi="Arial" w:cs="Arial"/>
          <w:color w:val="000000"/>
          <w:shd w:val="clear" w:color="auto" w:fill="FFFFFF"/>
        </w:rPr>
        <w:t> the </w:t>
      </w:r>
      <w:r w:rsidRPr="00D904C2">
        <w:rPr>
          <w:rFonts w:ascii="Arial" w:hAnsi="Arial" w:cs="Arial"/>
          <w:color w:val="000000"/>
          <w:bdr w:val="none" w:sz="0" w:space="0" w:color="auto" w:frame="1"/>
          <w:shd w:val="clear" w:color="auto" w:fill="FFFFFF"/>
        </w:rPr>
        <w:t>action</w:t>
      </w:r>
      <w:r w:rsidRPr="00D904C2">
        <w:rPr>
          <w:rFonts w:ascii="Arial" w:hAnsi="Arial" w:cs="Arial"/>
          <w:color w:val="000000"/>
          <w:shd w:val="clear" w:color="auto" w:fill="FFFFFF"/>
        </w:rPr>
        <w:t> doctrine is applied when the claims are: “(1) arising solely from a contract between the parties; (2) where the duties allegedly breached were created and grounded in the contract itself; (3) where liability stems from a contract; or (4) where the tort claim essentially duplicates a breach of contact claim or the success of which is wholly dependent on the terms of a contract.” </w:t>
      </w:r>
      <w:proofErr w:type="spellStart"/>
      <w:r w:rsidRPr="00D904C2">
        <w:rPr>
          <w:rFonts w:ascii="Arial" w:hAnsi="Arial" w:cs="Arial"/>
          <w:i/>
          <w:iCs/>
          <w:color w:val="000000"/>
          <w:bdr w:val="none" w:sz="0" w:space="0" w:color="auto" w:frame="1"/>
          <w:shd w:val="clear" w:color="auto" w:fill="FFFFFF"/>
        </w:rPr>
        <w:t>Kjaer</w:t>
      </w:r>
      <w:proofErr w:type="spellEnd"/>
      <w:r w:rsidRPr="00D904C2">
        <w:rPr>
          <w:rFonts w:ascii="Arial" w:hAnsi="Arial" w:cs="Arial"/>
          <w:i/>
          <w:iCs/>
          <w:color w:val="000000"/>
          <w:bdr w:val="none" w:sz="0" w:space="0" w:color="auto" w:frame="1"/>
          <w:shd w:val="clear" w:color="auto" w:fill="FFFFFF"/>
        </w:rPr>
        <w:t>,</w:t>
      </w:r>
      <w:r w:rsidRPr="00D904C2">
        <w:rPr>
          <w:rFonts w:ascii="Arial" w:hAnsi="Arial" w:cs="Arial"/>
          <w:color w:val="000000"/>
          <w:shd w:val="clear" w:color="auto" w:fill="FFFFFF"/>
        </w:rPr>
        <w:t> 60 V.I. at 898</w:t>
      </w:r>
      <w:r w:rsidR="00535DED">
        <w:rPr>
          <w:rFonts w:ascii="Arial" w:hAnsi="Arial" w:cs="Arial"/>
          <w:color w:val="000000"/>
          <w:shd w:val="clear" w:color="auto" w:fill="FFFFFF"/>
        </w:rPr>
        <w:t>.</w:t>
      </w:r>
    </w:p>
    <w:p w14:paraId="0A1E5AB2" w14:textId="77777777" w:rsidR="00535DED" w:rsidRPr="00D904C2" w:rsidRDefault="00535DED" w:rsidP="00535DED">
      <w:pPr>
        <w:ind w:left="720" w:right="720"/>
        <w:jc w:val="both"/>
        <w:outlineLvl w:val="0"/>
        <w:rPr>
          <w:rFonts w:ascii="Arial" w:hAnsi="Arial" w:cs="Arial"/>
          <w:color w:val="000000"/>
          <w:shd w:val="clear" w:color="auto" w:fill="FFFFFF"/>
        </w:rPr>
      </w:pPr>
    </w:p>
    <w:p w14:paraId="0C9EF98F" w14:textId="3B3069D7" w:rsidR="00A25486" w:rsidRDefault="00A25486" w:rsidP="00A25486">
      <w:pPr>
        <w:shd w:val="clear" w:color="auto" w:fill="FFFFFF"/>
        <w:jc w:val="both"/>
        <w:textAlignment w:val="baseline"/>
        <w:rPr>
          <w:rFonts w:ascii="Arial" w:hAnsi="Arial" w:cs="Arial"/>
        </w:rPr>
      </w:pPr>
      <w:r w:rsidRPr="00D904C2">
        <w:rPr>
          <w:rFonts w:ascii="Arial" w:hAnsi="Arial" w:cs="Arial"/>
          <w:bCs/>
          <w:i/>
        </w:rPr>
        <w:t xml:space="preserve">Id. </w:t>
      </w:r>
      <w:r w:rsidRPr="00D904C2">
        <w:rPr>
          <w:rFonts w:ascii="Arial" w:hAnsi="Arial" w:cs="Arial"/>
          <w:bCs/>
          <w:iCs/>
        </w:rPr>
        <w:t xml:space="preserve">at </w:t>
      </w:r>
      <w:r w:rsidR="00535DED">
        <w:rPr>
          <w:rFonts w:ascii="Arial" w:hAnsi="Arial" w:cs="Arial"/>
          <w:bCs/>
          <w:iCs/>
        </w:rPr>
        <w:t>*</w:t>
      </w:r>
      <w:r w:rsidRPr="00D904C2">
        <w:rPr>
          <w:rFonts w:ascii="Arial" w:hAnsi="Arial" w:cs="Arial"/>
          <w:bCs/>
          <w:iCs/>
        </w:rPr>
        <w:t xml:space="preserve">6. </w:t>
      </w:r>
      <w:r>
        <w:rPr>
          <w:rFonts w:ascii="Arial" w:hAnsi="Arial" w:cs="Arial"/>
          <w:bCs/>
          <w:iCs/>
        </w:rPr>
        <w:t xml:space="preserve">Judge Brady </w:t>
      </w:r>
      <w:r w:rsidR="00535DED">
        <w:rPr>
          <w:rFonts w:ascii="Arial" w:hAnsi="Arial" w:cs="Arial"/>
          <w:bCs/>
          <w:iCs/>
        </w:rPr>
        <w:t xml:space="preserve">then </w:t>
      </w:r>
      <w:r w:rsidRPr="00D904C2">
        <w:rPr>
          <w:rFonts w:ascii="Arial" w:hAnsi="Arial" w:cs="Arial"/>
          <w:bCs/>
          <w:iCs/>
        </w:rPr>
        <w:t>dismiss</w:t>
      </w:r>
      <w:r w:rsidR="00535DED">
        <w:rPr>
          <w:rFonts w:ascii="Arial" w:hAnsi="Arial" w:cs="Arial"/>
          <w:bCs/>
          <w:iCs/>
        </w:rPr>
        <w:t>ed</w:t>
      </w:r>
      <w:r w:rsidRPr="00D904C2">
        <w:rPr>
          <w:rFonts w:ascii="Arial" w:hAnsi="Arial" w:cs="Arial"/>
          <w:bCs/>
          <w:iCs/>
        </w:rPr>
        <w:t xml:space="preserve"> the plaintiff’s tort claims, finding </w:t>
      </w:r>
      <w:r>
        <w:rPr>
          <w:rFonts w:ascii="Arial" w:hAnsi="Arial" w:cs="Arial"/>
          <w:bCs/>
          <w:iCs/>
        </w:rPr>
        <w:t xml:space="preserve">the underlying facts were based on certain </w:t>
      </w:r>
      <w:r w:rsidRPr="00D904C2">
        <w:rPr>
          <w:rFonts w:ascii="Arial" w:hAnsi="Arial" w:cs="Arial"/>
          <w:bCs/>
          <w:iCs/>
        </w:rPr>
        <w:t xml:space="preserve">contractual obligations between the parties.  </w:t>
      </w:r>
      <w:r w:rsidRPr="00D904C2">
        <w:rPr>
          <w:rFonts w:ascii="Arial" w:hAnsi="Arial" w:cs="Arial"/>
          <w:bCs/>
          <w:i/>
        </w:rPr>
        <w:t>See also, Edwards v. Marriott Management Corp. (Virgin Islands), Inc.,</w:t>
      </w:r>
      <w:r w:rsidRPr="00D904C2">
        <w:rPr>
          <w:rFonts w:ascii="Arial" w:hAnsi="Arial" w:cs="Arial"/>
          <w:bCs/>
        </w:rPr>
        <w:t xml:space="preserve"> 2015 WL 476216, at *6 (V.I. Super. Ct. Jan. 29, 2015)(</w:t>
      </w:r>
      <w:r w:rsidRPr="00D904C2">
        <w:rPr>
          <w:rFonts w:ascii="Arial" w:hAnsi="Arial" w:cs="Arial"/>
          <w:color w:val="000000"/>
        </w:rPr>
        <w:t>“This is also in line with our jurisdiction’s recognition of the gist of the action doctrine, which ‘is designed to maintain the conceptual distinction between breach of contract claims and tort claims’ and that, ‘[a]s a practical matter, the doctrine precludes plaintiffs from re-casting ordinary breach of contract claims into tort claims.’”)</w:t>
      </w:r>
      <w:r>
        <w:rPr>
          <w:rFonts w:ascii="Arial" w:hAnsi="Arial" w:cs="Arial"/>
        </w:rPr>
        <w:t>.</w:t>
      </w:r>
    </w:p>
    <w:p w14:paraId="49D8A257" w14:textId="77777777" w:rsidR="00A25486" w:rsidRDefault="00A25486" w:rsidP="00A254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7DE31" w14:textId="11102BDC" w:rsidR="00A25486" w:rsidRPr="00A25486" w:rsidRDefault="00A25486">
    <w:pPr>
      <w:pStyle w:val="Header"/>
      <w:rPr>
        <w:rFonts w:ascii="Arial" w:hAnsi="Arial" w:cs="Arial"/>
        <w:sz w:val="20"/>
        <w:szCs w:val="20"/>
      </w:rPr>
    </w:pPr>
    <w:r w:rsidRPr="00A25486">
      <w:rPr>
        <w:rFonts w:ascii="Arial" w:hAnsi="Arial" w:cs="Arial"/>
        <w:sz w:val="20"/>
        <w:szCs w:val="20"/>
      </w:rPr>
      <w:t>Hamed R</w:t>
    </w:r>
    <w:r w:rsidR="003079F4">
      <w:rPr>
        <w:rFonts w:ascii="Arial" w:hAnsi="Arial" w:cs="Arial"/>
        <w:sz w:val="20"/>
        <w:szCs w:val="20"/>
      </w:rPr>
      <w:t>esponse</w:t>
    </w:r>
    <w:r w:rsidRPr="00A25486">
      <w:rPr>
        <w:rFonts w:ascii="Arial" w:hAnsi="Arial" w:cs="Arial"/>
        <w:sz w:val="20"/>
        <w:szCs w:val="20"/>
      </w:rPr>
      <w:t xml:space="preserve"> re Y-8 </w:t>
    </w:r>
    <w:r w:rsidR="003079F4">
      <w:rPr>
        <w:rFonts w:ascii="Arial" w:hAnsi="Arial" w:cs="Arial"/>
        <w:sz w:val="20"/>
        <w:szCs w:val="20"/>
      </w:rPr>
      <w:t>Restitution/</w:t>
    </w:r>
    <w:r w:rsidRPr="00A25486">
      <w:rPr>
        <w:rFonts w:ascii="Arial" w:hAnsi="Arial" w:cs="Arial"/>
        <w:sz w:val="20"/>
        <w:szCs w:val="20"/>
      </w:rPr>
      <w:t>Statute of Limitations</w:t>
    </w:r>
  </w:p>
  <w:p w14:paraId="451308A3" w14:textId="68CA08A1" w:rsidR="00A25486" w:rsidRPr="00A25486" w:rsidRDefault="00A25486">
    <w:pPr>
      <w:pStyle w:val="Header"/>
      <w:rPr>
        <w:rFonts w:ascii="Arial" w:hAnsi="Arial" w:cs="Arial"/>
        <w:sz w:val="20"/>
        <w:szCs w:val="20"/>
      </w:rPr>
    </w:pPr>
    <w:r w:rsidRPr="00A25486">
      <w:rPr>
        <w:rFonts w:ascii="Arial" w:hAnsi="Arial" w:cs="Arial"/>
        <w:sz w:val="20"/>
        <w:szCs w:val="20"/>
      </w:rPr>
      <w:t xml:space="preserve">Page </w:t>
    </w:r>
    <w:r w:rsidRPr="00A25486">
      <w:rPr>
        <w:rFonts w:ascii="Arial" w:hAnsi="Arial" w:cs="Arial"/>
        <w:sz w:val="20"/>
        <w:szCs w:val="20"/>
      </w:rPr>
      <w:fldChar w:fldCharType="begin"/>
    </w:r>
    <w:r w:rsidRPr="00A25486">
      <w:rPr>
        <w:rFonts w:ascii="Arial" w:hAnsi="Arial" w:cs="Arial"/>
        <w:sz w:val="20"/>
        <w:szCs w:val="20"/>
      </w:rPr>
      <w:instrText xml:space="preserve"> PAGE   \* MERGEFORMAT </w:instrText>
    </w:r>
    <w:r w:rsidRPr="00A25486">
      <w:rPr>
        <w:rFonts w:ascii="Arial" w:hAnsi="Arial" w:cs="Arial"/>
        <w:sz w:val="20"/>
        <w:szCs w:val="20"/>
      </w:rPr>
      <w:fldChar w:fldCharType="separate"/>
    </w:r>
    <w:r w:rsidRPr="00A25486">
      <w:rPr>
        <w:rFonts w:ascii="Arial" w:hAnsi="Arial" w:cs="Arial"/>
        <w:noProof/>
        <w:sz w:val="20"/>
        <w:szCs w:val="20"/>
      </w:rPr>
      <w:t>1</w:t>
    </w:r>
    <w:r w:rsidRPr="00A25486">
      <w:rPr>
        <w:rFonts w:ascii="Arial" w:hAnsi="Arial" w:cs="Arial"/>
        <w:noProof/>
        <w:sz w:val="20"/>
        <w:szCs w:val="20"/>
      </w:rPr>
      <w:fldChar w:fldCharType="end"/>
    </w:r>
  </w:p>
  <w:p w14:paraId="1D21DADC" w14:textId="77777777" w:rsidR="00A25486" w:rsidRPr="00A25486" w:rsidRDefault="00A25486">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E5564"/>
    <w:multiLevelType w:val="hybridMultilevel"/>
    <w:tmpl w:val="22BCF162"/>
    <w:lvl w:ilvl="0" w:tplc="4C3050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724FA9"/>
    <w:multiLevelType w:val="hybridMultilevel"/>
    <w:tmpl w:val="66A65C8E"/>
    <w:lvl w:ilvl="0" w:tplc="80129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B03DF8"/>
    <w:multiLevelType w:val="hybridMultilevel"/>
    <w:tmpl w:val="0BA8A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86"/>
    <w:rsid w:val="00226FBD"/>
    <w:rsid w:val="003079F4"/>
    <w:rsid w:val="00535DED"/>
    <w:rsid w:val="006F31F8"/>
    <w:rsid w:val="00841C19"/>
    <w:rsid w:val="00895E34"/>
    <w:rsid w:val="00A25486"/>
    <w:rsid w:val="00AC3FD9"/>
    <w:rsid w:val="00C56FC8"/>
    <w:rsid w:val="00D27248"/>
    <w:rsid w:val="00E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E0A4"/>
  <w15:chartTrackingRefBased/>
  <w15:docId w15:val="{6035F27D-C6EF-4444-87F3-CFC0099C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86"/>
    <w:pPr>
      <w:spacing w:after="0" w:line="240" w:lineRule="auto"/>
    </w:pPr>
    <w:rPr>
      <w:rFonts w:ascii="Times New Roman" w:eastAsia="Times New Roman" w:hAnsi="Times New Roman" w:cs="Times New Roman"/>
      <w:sz w:val="24"/>
      <w:szCs w:val="24"/>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86"/>
    <w:pPr>
      <w:spacing w:after="160" w:line="259" w:lineRule="auto"/>
      <w:ind w:left="720"/>
      <w:contextualSpacing/>
    </w:pPr>
    <w:rPr>
      <w:rFonts w:asciiTheme="minorHAnsi" w:eastAsiaTheme="minorHAnsi" w:hAnsiTheme="minorHAnsi" w:cstheme="minorBidi"/>
      <w:sz w:val="22"/>
      <w:szCs w:val="22"/>
      <w:lang w:val="en-US"/>
    </w:rPr>
  </w:style>
  <w:style w:type="paragraph" w:styleId="FootnoteText">
    <w:name w:val="footnote text"/>
    <w:basedOn w:val="Normal"/>
    <w:link w:val="FootnoteTextChar"/>
    <w:uiPriority w:val="99"/>
    <w:unhideWhenUsed/>
    <w:rsid w:val="00A25486"/>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A25486"/>
    <w:rPr>
      <w:sz w:val="20"/>
      <w:szCs w:val="20"/>
    </w:rPr>
  </w:style>
  <w:style w:type="character" w:styleId="FootnoteReference">
    <w:name w:val="footnote reference"/>
    <w:basedOn w:val="DefaultParagraphFont"/>
    <w:uiPriority w:val="99"/>
    <w:semiHidden/>
    <w:unhideWhenUsed/>
    <w:rsid w:val="00A25486"/>
    <w:rPr>
      <w:vertAlign w:val="superscript"/>
    </w:rPr>
  </w:style>
  <w:style w:type="paragraph" w:styleId="NormalWeb">
    <w:name w:val="Normal (Web)"/>
    <w:basedOn w:val="Normal"/>
    <w:uiPriority w:val="99"/>
    <w:unhideWhenUsed/>
    <w:rsid w:val="00A25486"/>
    <w:pPr>
      <w:spacing w:before="100" w:beforeAutospacing="1" w:after="100" w:afterAutospacing="1"/>
    </w:pPr>
    <w:rPr>
      <w:lang w:val="en-US"/>
    </w:rPr>
  </w:style>
  <w:style w:type="character" w:styleId="Emphasis">
    <w:name w:val="Emphasis"/>
    <w:basedOn w:val="DefaultParagraphFont"/>
    <w:uiPriority w:val="20"/>
    <w:qFormat/>
    <w:rsid w:val="00A25486"/>
    <w:rPr>
      <w:i/>
      <w:iCs/>
    </w:rPr>
  </w:style>
  <w:style w:type="character" w:customStyle="1" w:styleId="apple-converted-space">
    <w:name w:val="apple-converted-space"/>
    <w:basedOn w:val="DefaultParagraphFont"/>
    <w:rsid w:val="00A25486"/>
  </w:style>
  <w:style w:type="table" w:styleId="TableGrid">
    <w:name w:val="Table Grid"/>
    <w:basedOn w:val="TableNormal"/>
    <w:uiPriority w:val="59"/>
    <w:rsid w:val="00A2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5486"/>
    <w:pPr>
      <w:spacing w:after="0" w:line="240" w:lineRule="auto"/>
    </w:pPr>
    <w:rPr>
      <w:rFonts w:ascii="Calibri" w:hAnsi="Calibri" w:cs="Times New Roman"/>
    </w:rPr>
  </w:style>
  <w:style w:type="paragraph" w:styleId="Header">
    <w:name w:val="header"/>
    <w:basedOn w:val="Normal"/>
    <w:link w:val="HeaderChar"/>
    <w:uiPriority w:val="99"/>
    <w:unhideWhenUsed/>
    <w:rsid w:val="00A25486"/>
    <w:pPr>
      <w:tabs>
        <w:tab w:val="center" w:pos="4680"/>
        <w:tab w:val="right" w:pos="9360"/>
      </w:tabs>
    </w:pPr>
  </w:style>
  <w:style w:type="character" w:customStyle="1" w:styleId="HeaderChar">
    <w:name w:val="Header Char"/>
    <w:basedOn w:val="DefaultParagraphFont"/>
    <w:link w:val="Header"/>
    <w:uiPriority w:val="99"/>
    <w:rsid w:val="00A25486"/>
    <w:rPr>
      <w:rFonts w:ascii="Times New Roman" w:eastAsia="Times New Roman" w:hAnsi="Times New Roman" w:cs="Times New Roman"/>
      <w:sz w:val="24"/>
      <w:szCs w:val="24"/>
      <w:lang w:val="en-029"/>
    </w:rPr>
  </w:style>
  <w:style w:type="paragraph" w:styleId="Footer">
    <w:name w:val="footer"/>
    <w:basedOn w:val="Normal"/>
    <w:link w:val="FooterChar"/>
    <w:uiPriority w:val="99"/>
    <w:unhideWhenUsed/>
    <w:rsid w:val="00A25486"/>
    <w:pPr>
      <w:tabs>
        <w:tab w:val="center" w:pos="4680"/>
        <w:tab w:val="right" w:pos="9360"/>
      </w:tabs>
    </w:pPr>
  </w:style>
  <w:style w:type="character" w:customStyle="1" w:styleId="FooterChar">
    <w:name w:val="Footer Char"/>
    <w:basedOn w:val="DefaultParagraphFont"/>
    <w:link w:val="Footer"/>
    <w:uiPriority w:val="99"/>
    <w:rsid w:val="00A25486"/>
    <w:rPr>
      <w:rFonts w:ascii="Times New Roman" w:eastAsia="Times New Roman" w:hAnsi="Times New Roman" w:cs="Times New Roman"/>
      <w:sz w:val="24"/>
      <w:szCs w:val="24"/>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2667</Words>
  <Characters>13526</Characters>
  <Application>Microsoft Office Word</Application>
  <DocSecurity>0</DocSecurity>
  <Lines>355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Farrante</dc:creator>
  <cp:keywords/>
  <dc:description/>
  <cp:lastModifiedBy>Carl Hartmann</cp:lastModifiedBy>
  <cp:revision>2</cp:revision>
  <dcterms:created xsi:type="dcterms:W3CDTF">2020-10-22T21:45:00Z</dcterms:created>
  <dcterms:modified xsi:type="dcterms:W3CDTF">2020-10-22T21:45:00Z</dcterms:modified>
</cp:coreProperties>
</file>